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6369C310" w14:textId="791E1C19" w:rsidR="00B172EC" w:rsidRPr="0017695A" w:rsidRDefault="00181A46" w:rsidP="00352421">
          <w:pPr>
            <w:pStyle w:val="Titul2"/>
          </w:pPr>
          <w:r w:rsidRPr="002E4B56" w:rsidDel="00F772C6">
            <w:rPr>
              <w:rStyle w:val="Nzevakce"/>
              <w:b/>
            </w:rPr>
            <w:t>„</w:t>
          </w:r>
          <w:r w:rsidR="002E4B56" w:rsidRPr="002E4B56">
            <w:rPr>
              <w:rStyle w:val="Nzevakce"/>
              <w:b/>
            </w:rPr>
            <w:t>Rekonstrukce zastřešení v ŽST Kolín</w:t>
          </w:r>
          <w:r w:rsidRPr="002E4B56" w:rsidDel="00F772C6">
            <w:rPr>
              <w:rStyle w:val="Nzevakce"/>
              <w:b/>
            </w:rPr>
            <w: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238FFF1F" w14:textId="584684EA" w:rsidR="002E4B56" w:rsidRPr="00614D50" w:rsidRDefault="002E4B56" w:rsidP="002E4B56">
      <w:pPr>
        <w:pStyle w:val="PNTextbezodsazmezer"/>
      </w:pPr>
      <w:r w:rsidRPr="008107EE">
        <w:t>Jméno: Ing. Martin Verner, Ph.D.</w:t>
      </w:r>
    </w:p>
    <w:p w14:paraId="663AFF8F" w14:textId="77777777" w:rsidR="002E4B56" w:rsidRPr="00614D50" w:rsidRDefault="002E4B56" w:rsidP="002E4B56">
      <w:pPr>
        <w:spacing w:after="0"/>
        <w:jc w:val="both"/>
        <w:rPr>
          <w:rFonts w:eastAsia="Calibri" w:cs="Times New Roman"/>
        </w:rPr>
      </w:pPr>
      <w:r w:rsidRPr="00614D50">
        <w:rPr>
          <w:rFonts w:eastAsia="Calibri" w:cs="Times New Roman"/>
        </w:rPr>
        <w:t>Stavební správa západ</w:t>
      </w:r>
    </w:p>
    <w:p w14:paraId="006AECBE" w14:textId="77777777" w:rsidR="002E4B56" w:rsidRPr="00614D50" w:rsidRDefault="002E4B56" w:rsidP="002E4B56">
      <w:pPr>
        <w:spacing w:after="0"/>
        <w:jc w:val="both"/>
        <w:rPr>
          <w:rFonts w:eastAsia="Calibri" w:cs="Times New Roman"/>
        </w:rPr>
      </w:pPr>
      <w:r w:rsidRPr="00614D50">
        <w:rPr>
          <w:rFonts w:eastAsia="Calibri" w:cs="Times New Roman"/>
        </w:rPr>
        <w:t xml:space="preserve">Budova </w:t>
      </w:r>
      <w:proofErr w:type="spellStart"/>
      <w:r w:rsidRPr="00614D50">
        <w:rPr>
          <w:rFonts w:eastAsia="Calibri" w:cs="Times New Roman"/>
        </w:rPr>
        <w:t>Diamond</w:t>
      </w:r>
      <w:proofErr w:type="spellEnd"/>
      <w:r w:rsidRPr="00614D50">
        <w:rPr>
          <w:rFonts w:eastAsia="Calibri" w:cs="Times New Roman"/>
        </w:rPr>
        <w:t xml:space="preserve"> Point, Ke Štvanici 656/3, 186 00 Praha 8 – Karlín</w:t>
      </w:r>
    </w:p>
    <w:p w14:paraId="2108D5B2" w14:textId="77777777" w:rsidR="002E4B56" w:rsidRPr="00614D50" w:rsidRDefault="002E4B56" w:rsidP="002E4B56">
      <w:pPr>
        <w:spacing w:after="0"/>
        <w:jc w:val="both"/>
        <w:rPr>
          <w:rFonts w:eastAsia="Calibri" w:cs="Times New Roman"/>
        </w:rPr>
      </w:pPr>
      <w:r w:rsidRPr="00614D50">
        <w:rPr>
          <w:rFonts w:eastAsia="Calibri" w:cs="Times New Roman"/>
        </w:rPr>
        <w:t xml:space="preserve">Pracoviště: Purkyňova1017/22, 301 </w:t>
      </w:r>
      <w:proofErr w:type="gramStart"/>
      <w:r w:rsidRPr="00614D50">
        <w:rPr>
          <w:rFonts w:eastAsia="Calibri" w:cs="Times New Roman"/>
        </w:rPr>
        <w:t>00  Plzeň</w:t>
      </w:r>
      <w:proofErr w:type="gramEnd"/>
    </w:p>
    <w:p w14:paraId="6AFAC8A2" w14:textId="194084AF" w:rsidR="002E4B56" w:rsidRDefault="002E4B56" w:rsidP="002E4B56">
      <w:pPr>
        <w:spacing w:after="0"/>
        <w:jc w:val="both"/>
        <w:rPr>
          <w:rFonts w:eastAsia="Calibri" w:cs="Times New Roman"/>
        </w:rPr>
      </w:pPr>
      <w:r w:rsidRPr="00614D50">
        <w:rPr>
          <w:rFonts w:eastAsia="Calibri" w:cs="Times New Roman"/>
        </w:rPr>
        <w:t>Mobil: +420</w:t>
      </w:r>
      <w:r>
        <w:rPr>
          <w:rFonts w:eastAsia="Calibri" w:cs="Times New Roman"/>
        </w:rPr>
        <w:t> 739 507 861</w:t>
      </w:r>
    </w:p>
    <w:p w14:paraId="31EFD252" w14:textId="39F89DF1" w:rsidR="002E4B56" w:rsidRDefault="002E4B56" w:rsidP="002E4B56">
      <w:pPr>
        <w:spacing w:after="0"/>
        <w:jc w:val="both"/>
        <w:rPr>
          <w:rFonts w:eastAsia="Calibri" w:cs="Times New Roman"/>
        </w:rPr>
      </w:pPr>
      <w:r>
        <w:rPr>
          <w:rFonts w:eastAsia="Calibri" w:cs="Times New Roman"/>
        </w:rPr>
        <w:t xml:space="preserve">Mail: </w:t>
      </w:r>
      <w:hyperlink r:id="rId11" w:history="1">
        <w:r w:rsidR="005061D7" w:rsidRPr="00BC20E3">
          <w:rPr>
            <w:rStyle w:val="Hypertextovodkaz"/>
            <w:rFonts w:eastAsia="Calibri" w:cs="Times New Roman"/>
            <w:noProof w:val="0"/>
          </w:rPr>
          <w:t>vernerm@spravazeleznic.cz</w:t>
        </w:r>
      </w:hyperlink>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2A8054A5" w14:textId="77777777" w:rsidR="002D7BD2" w:rsidRDefault="002D7BD2" w:rsidP="002D7BD2">
      <w:pPr>
        <w:pStyle w:val="PNTextzkladn"/>
      </w:pPr>
      <w:bookmarkStart w:id="1" w:name="_Hlk135650207"/>
      <w:bookmarkEnd w:id="0"/>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lastRenderedPageBreak/>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proofErr w:type="spellStart"/>
      <w:r w:rsidR="002D7BD2" w:rsidRPr="00097CAC">
        <w:rPr>
          <w:b/>
        </w:rPr>
        <w:t>uccchjm</w:t>
      </w:r>
      <w:proofErr w:type="spellEnd"/>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21FBD854" w14:textId="77777777" w:rsidR="002E4B56" w:rsidRPr="00F828CE" w:rsidRDefault="002E4B56" w:rsidP="002E4B56">
      <w:pPr>
        <w:pStyle w:val="TabulkaNadpis"/>
      </w:pPr>
      <w:r w:rsidRPr="00F828CE">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2E4B56" w:rsidRPr="00F828CE" w14:paraId="1E5636D8" w14:textId="77777777" w:rsidTr="00FD7B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5A6C330" w14:textId="77777777" w:rsidR="002E4B56" w:rsidRPr="00F828CE" w:rsidRDefault="002E4B56" w:rsidP="00FD7B46">
            <w:pPr>
              <w:pStyle w:val="Tabulka-7"/>
              <w:keepNext/>
              <w:rPr>
                <w:b/>
              </w:rPr>
            </w:pPr>
            <w:r w:rsidRPr="00F828CE">
              <w:rPr>
                <w:b/>
              </w:rPr>
              <w:t>Sekce</w:t>
            </w:r>
          </w:p>
        </w:tc>
        <w:tc>
          <w:tcPr>
            <w:tcW w:w="3073" w:type="dxa"/>
          </w:tcPr>
          <w:p w14:paraId="799AFCDF" w14:textId="77777777" w:rsidR="002E4B56" w:rsidRPr="00F828CE" w:rsidRDefault="002E4B56" w:rsidP="00FD7B46">
            <w:pPr>
              <w:pStyle w:val="Tabulka-7"/>
              <w:cnfStyle w:val="100000000000" w:firstRow="1" w:lastRow="0" w:firstColumn="0" w:lastColumn="0" w:oddVBand="0" w:evenVBand="0" w:oddHBand="0" w:evenHBand="0" w:firstRowFirstColumn="0" w:firstRowLastColumn="0" w:lastRowFirstColumn="0" w:lastRowLastColumn="0"/>
              <w:rPr>
                <w:b/>
              </w:rPr>
            </w:pPr>
            <w:r w:rsidRPr="00F828CE">
              <w:rPr>
                <w:b/>
              </w:rPr>
              <w:t>Činnosti</w:t>
            </w:r>
          </w:p>
        </w:tc>
        <w:tc>
          <w:tcPr>
            <w:tcW w:w="1694" w:type="dxa"/>
          </w:tcPr>
          <w:p w14:paraId="49E4018E" w14:textId="77777777" w:rsidR="002E4B56" w:rsidRPr="00F828CE" w:rsidRDefault="002E4B56" w:rsidP="00FD7B46">
            <w:pPr>
              <w:pStyle w:val="Tabulka-7"/>
              <w:cnfStyle w:val="100000000000" w:firstRow="1" w:lastRow="0" w:firstColumn="0" w:lastColumn="0" w:oddVBand="0" w:evenVBand="0" w:oddHBand="0" w:evenHBand="0" w:firstRowFirstColumn="0" w:firstRowLastColumn="0" w:lastRowFirstColumn="0" w:lastRowLastColumn="0"/>
              <w:rPr>
                <w:b/>
              </w:rPr>
            </w:pPr>
            <w:r w:rsidRPr="00F828CE">
              <w:rPr>
                <w:b/>
              </w:rPr>
              <w:t>Typ výluky</w:t>
            </w:r>
          </w:p>
        </w:tc>
        <w:tc>
          <w:tcPr>
            <w:tcW w:w="1964" w:type="dxa"/>
          </w:tcPr>
          <w:p w14:paraId="4B1C78E1" w14:textId="77777777" w:rsidR="002E4B56" w:rsidRPr="00F828CE" w:rsidRDefault="002E4B56" w:rsidP="00FD7B46">
            <w:pPr>
              <w:pStyle w:val="Tabulka-7"/>
              <w:cnfStyle w:val="100000000000" w:firstRow="1" w:lastRow="0" w:firstColumn="0" w:lastColumn="0" w:oddVBand="0" w:evenVBand="0" w:oddHBand="0" w:evenHBand="0" w:firstRowFirstColumn="0" w:firstRowLastColumn="0" w:lastRowFirstColumn="0" w:lastRowLastColumn="0"/>
              <w:rPr>
                <w:b/>
              </w:rPr>
            </w:pPr>
            <w:r w:rsidRPr="00F828CE">
              <w:rPr>
                <w:b/>
              </w:rPr>
              <w:t>Doba pro dokončení</w:t>
            </w:r>
          </w:p>
        </w:tc>
      </w:tr>
      <w:tr w:rsidR="00645028" w:rsidRPr="00F828CE" w14:paraId="7B85191C" w14:textId="77777777" w:rsidTr="00FD7B46">
        <w:tc>
          <w:tcPr>
            <w:cnfStyle w:val="001000000000" w:firstRow="0" w:lastRow="0" w:firstColumn="1" w:lastColumn="0" w:oddVBand="0" w:evenVBand="0" w:oddHBand="0" w:evenHBand="0" w:firstRowFirstColumn="0" w:firstRowLastColumn="0" w:lastRowFirstColumn="0" w:lastRowLastColumn="0"/>
            <w:tcW w:w="1320" w:type="dxa"/>
          </w:tcPr>
          <w:p w14:paraId="6C82AD8B" w14:textId="2B5C104C" w:rsidR="00645028" w:rsidRPr="00F828CE" w:rsidRDefault="00645028" w:rsidP="00645028">
            <w:pPr>
              <w:pStyle w:val="Tabulka-7"/>
            </w:pPr>
            <w:r w:rsidRPr="00F828CE">
              <w:t>Sekce 1 (projekční část)</w:t>
            </w:r>
          </w:p>
        </w:tc>
        <w:tc>
          <w:tcPr>
            <w:tcW w:w="3073" w:type="dxa"/>
          </w:tcPr>
          <w:p w14:paraId="6C48ACB9" w14:textId="7EBF6A32"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Zhotovení Dokumentace DPS a nabytí právní moci povolení záměru či jiného dokladu opravňujícího k zahájení zhotovení stavby</w:t>
            </w:r>
          </w:p>
        </w:tc>
        <w:tc>
          <w:tcPr>
            <w:tcW w:w="1694" w:type="dxa"/>
          </w:tcPr>
          <w:p w14:paraId="3B171F88" w14:textId="77777777"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12174A9" w14:textId="1A010400"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t>4</w:t>
            </w:r>
            <w:r w:rsidRPr="00F828CE">
              <w:t xml:space="preserve"> měsíc</w:t>
            </w:r>
            <w:r>
              <w:t>e</w:t>
            </w:r>
            <w:r w:rsidRPr="00F828CE">
              <w:t xml:space="preserve"> od </w:t>
            </w:r>
            <w:r>
              <w:t>d</w:t>
            </w:r>
            <w:r w:rsidRPr="00F828CE">
              <w:t xml:space="preserve">ata </w:t>
            </w:r>
            <w:r>
              <w:t xml:space="preserve">zahájení prací </w:t>
            </w:r>
          </w:p>
        </w:tc>
      </w:tr>
      <w:tr w:rsidR="00645028" w:rsidRPr="00F828CE" w14:paraId="3E3B080E" w14:textId="77777777" w:rsidTr="00FD7B46">
        <w:tc>
          <w:tcPr>
            <w:cnfStyle w:val="001000000000" w:firstRow="0" w:lastRow="0" w:firstColumn="1" w:lastColumn="0" w:oddVBand="0" w:evenVBand="0" w:oddHBand="0" w:evenHBand="0" w:firstRowFirstColumn="0" w:firstRowLastColumn="0" w:lastRowFirstColumn="0" w:lastRowLastColumn="0"/>
            <w:tcW w:w="1320" w:type="dxa"/>
          </w:tcPr>
          <w:p w14:paraId="3C213D56" w14:textId="34032E12" w:rsidR="00645028" w:rsidRPr="00F828CE" w:rsidRDefault="00645028" w:rsidP="00645028">
            <w:pPr>
              <w:pStyle w:val="Tabulka-7"/>
            </w:pPr>
            <w:r w:rsidRPr="00F828CE">
              <w:t>Sekce 2 (stavební část)</w:t>
            </w:r>
          </w:p>
        </w:tc>
        <w:tc>
          <w:tcPr>
            <w:tcW w:w="3073" w:type="dxa"/>
          </w:tcPr>
          <w:p w14:paraId="623ADC7D" w14:textId="790B399C"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 xml:space="preserve">Zhotovení stavby do Zkušebního provozu, kromě položek objektu SO 98-98 Všeobecný objekt, které budou provedeny až po dokončení Sekce 2 </w:t>
            </w:r>
          </w:p>
        </w:tc>
        <w:tc>
          <w:tcPr>
            <w:tcW w:w="1694" w:type="dxa"/>
          </w:tcPr>
          <w:p w14:paraId="072995DC" w14:textId="3EAE040B"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Výluky dle ZOV</w:t>
            </w:r>
          </w:p>
        </w:tc>
        <w:tc>
          <w:tcPr>
            <w:tcW w:w="1964" w:type="dxa"/>
          </w:tcPr>
          <w:p w14:paraId="6166C25B" w14:textId="1F46F7BD"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2</w:t>
            </w:r>
            <w:r w:rsidR="008E4A0D">
              <w:t>0</w:t>
            </w:r>
            <w:r w:rsidRPr="00F828CE">
              <w:t xml:space="preserve"> měsíců od </w:t>
            </w:r>
            <w:r>
              <w:t>d</w:t>
            </w:r>
            <w:r w:rsidRPr="00F828CE">
              <w:t>ata zahájení prací</w:t>
            </w:r>
            <w:r>
              <w:t xml:space="preserve"> (</w:t>
            </w:r>
            <w:r w:rsidRPr="00F828CE">
              <w:t>12/2026)</w:t>
            </w:r>
          </w:p>
        </w:tc>
      </w:tr>
      <w:tr w:rsidR="00645028" w:rsidRPr="00F828CE" w14:paraId="1D9E1D4B" w14:textId="77777777" w:rsidTr="00FD7B46">
        <w:tc>
          <w:tcPr>
            <w:cnfStyle w:val="001000000000" w:firstRow="0" w:lastRow="0" w:firstColumn="1" w:lastColumn="0" w:oddVBand="0" w:evenVBand="0" w:oddHBand="0" w:evenHBand="0" w:firstRowFirstColumn="0" w:firstRowLastColumn="0" w:lastRowFirstColumn="0" w:lastRowLastColumn="0"/>
            <w:tcW w:w="1320" w:type="dxa"/>
          </w:tcPr>
          <w:p w14:paraId="79B0E99C" w14:textId="22262FD2" w:rsidR="00645028" w:rsidRPr="00F828CE" w:rsidRDefault="00645028" w:rsidP="00645028">
            <w:pPr>
              <w:pStyle w:val="Tabulka-7"/>
            </w:pPr>
            <w:r w:rsidRPr="00F828CE">
              <w:lastRenderedPageBreak/>
              <w:t>Dokončení díla</w:t>
            </w:r>
          </w:p>
        </w:tc>
        <w:tc>
          <w:tcPr>
            <w:tcW w:w="3073" w:type="dxa"/>
          </w:tcPr>
          <w:p w14:paraId="12FEEE6D" w14:textId="2E055E50"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 xml:space="preserve">Položky z objektu SO 98-98, které nebyly provedeny v Sekci 2 Stavební </w:t>
            </w:r>
          </w:p>
        </w:tc>
        <w:tc>
          <w:tcPr>
            <w:tcW w:w="1694" w:type="dxa"/>
          </w:tcPr>
          <w:p w14:paraId="590D7CAD" w14:textId="1EFFE06E"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Bez výluk</w:t>
            </w:r>
          </w:p>
        </w:tc>
        <w:tc>
          <w:tcPr>
            <w:tcW w:w="1964" w:type="dxa"/>
          </w:tcPr>
          <w:p w14:paraId="7574D1B6" w14:textId="70862080" w:rsidR="00645028" w:rsidRPr="00F828CE" w:rsidRDefault="008E4A0D" w:rsidP="00645028">
            <w:pPr>
              <w:pStyle w:val="Tabulka-7"/>
              <w:cnfStyle w:val="000000000000" w:firstRow="0" w:lastRow="0" w:firstColumn="0" w:lastColumn="0" w:oddVBand="0" w:evenVBand="0" w:oddHBand="0" w:evenHBand="0" w:firstRowFirstColumn="0" w:firstRowLastColumn="0" w:lastRowFirstColumn="0" w:lastRowLastColumn="0"/>
            </w:pPr>
            <w:r>
              <w:t>26</w:t>
            </w:r>
            <w:r w:rsidR="00645028" w:rsidRPr="00B33AAF">
              <w:t xml:space="preserve"> měsíců od Data zahájení prací</w:t>
            </w:r>
          </w:p>
        </w:tc>
      </w:tr>
    </w:tbl>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EC11FF">
        <w:rPr>
          <w:b/>
        </w:rPr>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2F37DE7C" w:rsidR="00C96E7C" w:rsidRDefault="00C96E7C" w:rsidP="005D168C">
      <w:pPr>
        <w:pStyle w:val="Textbezodsazen"/>
      </w:pPr>
      <w:r>
        <w:t xml:space="preserve">Přístup na Staveniště bude Zhotoviteli umožněn </w:t>
      </w:r>
      <w:r w:rsidRPr="005061D7">
        <w:t>od</w:t>
      </w:r>
      <w:r w:rsidR="002E4B56" w:rsidRPr="005061D7">
        <w:t xml:space="preserve"> předání staveniště</w:t>
      </w:r>
      <w:r>
        <w:t xml:space="preserve"> 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bookmarkStart w:id="2" w:name="_Hlk190241771"/>
      <w:r>
        <w:lastRenderedPageBreak/>
        <w:t>2.3</w:t>
      </w:r>
      <w:r w:rsidR="009D228B">
        <w:tab/>
      </w:r>
      <w:r>
        <w:t>Personál objednatele</w:t>
      </w:r>
    </w:p>
    <w:bookmarkEnd w:id="2"/>
    <w:p w14:paraId="3BF43A94" w14:textId="77777777" w:rsidR="008107EE"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5DB9E008" w14:textId="77777777" w:rsidR="008107EE" w:rsidRPr="003B3028" w:rsidRDefault="008107EE" w:rsidP="008107EE">
      <w:pPr>
        <w:overflowPunct w:val="0"/>
        <w:autoSpaceDE w:val="0"/>
        <w:autoSpaceDN w:val="0"/>
        <w:adjustRightInd w:val="0"/>
        <w:spacing w:after="0"/>
        <w:jc w:val="both"/>
        <w:textAlignment w:val="baseline"/>
      </w:pPr>
      <w:r>
        <w:t>Mgr. Daniel Továrnický</w:t>
      </w:r>
    </w:p>
    <w:p w14:paraId="3ED4797C" w14:textId="77777777" w:rsidR="008107EE" w:rsidRPr="003B3028" w:rsidRDefault="008107EE" w:rsidP="008107EE">
      <w:pPr>
        <w:overflowPunct w:val="0"/>
        <w:autoSpaceDE w:val="0"/>
        <w:autoSpaceDN w:val="0"/>
        <w:adjustRightInd w:val="0"/>
        <w:spacing w:after="0" w:line="240" w:lineRule="auto"/>
        <w:jc w:val="both"/>
        <w:textAlignment w:val="baseline"/>
        <w:rPr>
          <w:rFonts w:eastAsia="Times New Roman" w:cs="Times New Roman"/>
          <w:lang w:eastAsia="cs-CZ"/>
        </w:rPr>
      </w:pPr>
      <w:r w:rsidRPr="003B3028">
        <w:rPr>
          <w:rFonts w:eastAsia="Times New Roman" w:cs="Times New Roman"/>
          <w:lang w:eastAsia="cs-CZ"/>
        </w:rPr>
        <w:t>Správa železnic, státní organizace</w:t>
      </w:r>
    </w:p>
    <w:p w14:paraId="78455712" w14:textId="77777777" w:rsidR="008107EE" w:rsidRPr="003B3028" w:rsidRDefault="008107EE" w:rsidP="008107EE">
      <w:pPr>
        <w:overflowPunct w:val="0"/>
        <w:autoSpaceDE w:val="0"/>
        <w:autoSpaceDN w:val="0"/>
        <w:adjustRightInd w:val="0"/>
        <w:spacing w:after="0" w:line="240" w:lineRule="auto"/>
        <w:jc w:val="both"/>
        <w:textAlignment w:val="baseline"/>
        <w:rPr>
          <w:rFonts w:eastAsia="Times New Roman" w:cs="Times New Roman"/>
          <w:lang w:eastAsia="cs-CZ"/>
        </w:rPr>
      </w:pPr>
      <w:r w:rsidRPr="003B3028">
        <w:rPr>
          <w:rFonts w:eastAsia="Times New Roman" w:cs="Times New Roman"/>
          <w:lang w:eastAsia="cs-CZ"/>
        </w:rPr>
        <w:t>Stavební správa západ</w:t>
      </w:r>
    </w:p>
    <w:p w14:paraId="172A4341" w14:textId="77777777" w:rsidR="008107EE" w:rsidRPr="008F5018" w:rsidRDefault="008107EE" w:rsidP="008107EE">
      <w:pPr>
        <w:pStyle w:val="Tabulka-9"/>
      </w:pPr>
      <w:r w:rsidRPr="008F5018">
        <w:t>Sušická 1105/25, 326 00 Plzeň</w:t>
      </w:r>
    </w:p>
    <w:p w14:paraId="4B62D5E0" w14:textId="77777777" w:rsidR="008107EE" w:rsidRDefault="008107EE" w:rsidP="008107EE">
      <w:pPr>
        <w:pStyle w:val="Tabulka-9"/>
      </w:pPr>
      <w:r w:rsidRPr="008F5018">
        <w:t>Mobil + 420</w:t>
      </w:r>
      <w:r>
        <w:t> 722 988 744</w:t>
      </w:r>
      <w:r w:rsidRPr="008F5018">
        <w:t xml:space="preserve">, e-mail: </w:t>
      </w:r>
      <w:hyperlink r:id="rId13" w:history="1">
        <w:r w:rsidRPr="00400145">
          <w:rPr>
            <w:rStyle w:val="Hypertextovodkaz"/>
          </w:rPr>
          <w:t>tovarnicky@spravazeleznic.cz</w:t>
        </w:r>
      </w:hyperlink>
    </w:p>
    <w:p w14:paraId="06C28D88" w14:textId="77777777" w:rsidR="008107EE" w:rsidRDefault="008107EE" w:rsidP="008107EE">
      <w:pPr>
        <w:spacing w:after="0"/>
        <w:jc w:val="both"/>
        <w:rPr>
          <w:rFonts w:ascii="Verdana" w:hAnsi="Verdana"/>
        </w:rPr>
      </w:pPr>
    </w:p>
    <w:p w14:paraId="16772B55" w14:textId="562BDD53" w:rsidR="002E4B56" w:rsidRPr="008107EE" w:rsidRDefault="005841B5" w:rsidP="008107EE">
      <w:pPr>
        <w:spacing w:after="0"/>
        <w:jc w:val="both"/>
        <w:rPr>
          <w:rFonts w:ascii="Verdana" w:hAnsi="Verdana"/>
        </w:rPr>
      </w:pPr>
      <w:r w:rsidRPr="008107EE">
        <w:rPr>
          <w:rFonts w:ascii="Verdana" w:hAnsi="Verdana"/>
        </w:rPr>
        <w:t>Ve věci kontroly požití alkoholu a/nebo návykových látek</w:t>
      </w:r>
    </w:p>
    <w:p w14:paraId="3FF66F12" w14:textId="69576B21" w:rsidR="002E4B56" w:rsidRPr="008107EE" w:rsidRDefault="001A491F" w:rsidP="008107EE">
      <w:pPr>
        <w:overflowPunct w:val="0"/>
        <w:autoSpaceDE w:val="0"/>
        <w:autoSpaceDN w:val="0"/>
        <w:adjustRightInd w:val="0"/>
        <w:spacing w:after="0"/>
        <w:jc w:val="both"/>
        <w:textAlignment w:val="baseline"/>
      </w:pPr>
      <w:r>
        <w:t>Mgr. Zbyněk Neuwirth</w:t>
      </w:r>
    </w:p>
    <w:p w14:paraId="6C0FD9AE" w14:textId="77777777" w:rsidR="002E4B56" w:rsidRPr="008107EE" w:rsidRDefault="002E4B56" w:rsidP="008107EE">
      <w:pPr>
        <w:overflowPunct w:val="0"/>
        <w:autoSpaceDE w:val="0"/>
        <w:autoSpaceDN w:val="0"/>
        <w:adjustRightInd w:val="0"/>
        <w:spacing w:after="0" w:line="240" w:lineRule="auto"/>
        <w:jc w:val="both"/>
        <w:textAlignment w:val="baseline"/>
        <w:rPr>
          <w:rFonts w:eastAsia="Times New Roman" w:cs="Times New Roman"/>
          <w:lang w:eastAsia="cs-CZ"/>
        </w:rPr>
      </w:pPr>
      <w:r w:rsidRPr="008107EE">
        <w:rPr>
          <w:rFonts w:eastAsia="Times New Roman" w:cs="Times New Roman"/>
          <w:lang w:eastAsia="cs-CZ"/>
        </w:rPr>
        <w:t>Správa železnic, státní organizace</w:t>
      </w:r>
    </w:p>
    <w:p w14:paraId="371EE7BD" w14:textId="77777777" w:rsidR="002E4B56" w:rsidRPr="008107EE" w:rsidRDefault="002E4B56" w:rsidP="008107EE">
      <w:pPr>
        <w:overflowPunct w:val="0"/>
        <w:autoSpaceDE w:val="0"/>
        <w:autoSpaceDN w:val="0"/>
        <w:adjustRightInd w:val="0"/>
        <w:spacing w:after="0" w:line="240" w:lineRule="auto"/>
        <w:jc w:val="both"/>
        <w:textAlignment w:val="baseline"/>
        <w:rPr>
          <w:rFonts w:eastAsia="Times New Roman" w:cs="Times New Roman"/>
          <w:lang w:eastAsia="cs-CZ"/>
        </w:rPr>
      </w:pPr>
      <w:r w:rsidRPr="008107EE">
        <w:rPr>
          <w:rFonts w:eastAsia="Times New Roman" w:cs="Times New Roman"/>
          <w:lang w:eastAsia="cs-CZ"/>
        </w:rPr>
        <w:t>Stavební správa západ</w:t>
      </w:r>
    </w:p>
    <w:p w14:paraId="37AD1D7F" w14:textId="24095078" w:rsidR="002E4B56" w:rsidRPr="008107EE" w:rsidRDefault="001A491F" w:rsidP="008107EE">
      <w:pPr>
        <w:pStyle w:val="Tabulka-9"/>
        <w:spacing w:after="0"/>
      </w:pPr>
      <w:r>
        <w:t>Ke Štvanici 656/3</w:t>
      </w:r>
      <w:r w:rsidR="005A2A07">
        <w:t xml:space="preserve">, 186 </w:t>
      </w:r>
      <w:proofErr w:type="gramStart"/>
      <w:r w:rsidR="005A2A07">
        <w:t>00  Praha</w:t>
      </w:r>
      <w:proofErr w:type="gramEnd"/>
      <w:r w:rsidR="005A2A07">
        <w:t xml:space="preserve"> 8</w:t>
      </w:r>
    </w:p>
    <w:p w14:paraId="075150D4" w14:textId="74C1AE6B" w:rsidR="002E4B56" w:rsidRPr="008107EE" w:rsidRDefault="002E4B56" w:rsidP="008107EE">
      <w:pPr>
        <w:pStyle w:val="Tabulka-9"/>
        <w:spacing w:after="0"/>
      </w:pPr>
      <w:r w:rsidRPr="008107EE">
        <w:t>Mobil + 420</w:t>
      </w:r>
      <w:r w:rsidR="001A491F">
        <w:t> </w:t>
      </w:r>
      <w:r w:rsidR="008107EE" w:rsidRPr="008107EE">
        <w:t>72</w:t>
      </w:r>
      <w:r w:rsidR="001A491F">
        <w:t>0 834 594</w:t>
      </w:r>
      <w:r w:rsidRPr="008107EE">
        <w:t xml:space="preserve">, e-mail: </w:t>
      </w:r>
      <w:r w:rsidR="008107EE" w:rsidRPr="008107EE">
        <w:t>n</w:t>
      </w:r>
      <w:r w:rsidR="001A491F">
        <w:t>euwirthz</w:t>
      </w:r>
      <w:r w:rsidR="008107EE" w:rsidRPr="008107EE">
        <w:t>@spravazeleznic.cz</w:t>
      </w:r>
    </w:p>
    <w:p w14:paraId="75EF1B3E" w14:textId="1B735C30" w:rsidR="005841B5" w:rsidRPr="008107EE" w:rsidRDefault="005841B5" w:rsidP="008107EE">
      <w:pPr>
        <w:spacing w:after="0"/>
        <w:jc w:val="both"/>
        <w:rPr>
          <w:rFonts w:ascii="Verdana" w:hAnsi="Verdana"/>
        </w:rPr>
      </w:pPr>
    </w:p>
    <w:p w14:paraId="2874A75D" w14:textId="31C0F9E9" w:rsidR="005841B5" w:rsidRPr="008107EE" w:rsidRDefault="008107EE" w:rsidP="008107EE">
      <w:pPr>
        <w:spacing w:after="0"/>
        <w:jc w:val="both"/>
        <w:rPr>
          <w:rFonts w:ascii="Verdana" w:hAnsi="Verdana"/>
          <w:iCs/>
        </w:rPr>
      </w:pPr>
      <w:r w:rsidRPr="008107EE">
        <w:rPr>
          <w:rFonts w:ascii="Verdana" w:hAnsi="Verdana"/>
          <w:iCs/>
        </w:rPr>
        <w:t>K</w:t>
      </w:r>
      <w:r w:rsidR="005841B5" w:rsidRPr="008107EE">
        <w:rPr>
          <w:rFonts w:ascii="Verdana" w:hAnsi="Verdana"/>
          <w:iCs/>
        </w:rPr>
        <w:t>oordinátor BOZP na staveništi.</w:t>
      </w:r>
    </w:p>
    <w:p w14:paraId="5FAB2962" w14:textId="77777777" w:rsidR="005A2A07" w:rsidRPr="008107EE" w:rsidRDefault="005A2A07" w:rsidP="005A2A07">
      <w:pPr>
        <w:overflowPunct w:val="0"/>
        <w:autoSpaceDE w:val="0"/>
        <w:autoSpaceDN w:val="0"/>
        <w:adjustRightInd w:val="0"/>
        <w:spacing w:after="0"/>
        <w:jc w:val="both"/>
        <w:textAlignment w:val="baseline"/>
      </w:pPr>
      <w:r>
        <w:t>Mgr. Zbyněk Neuwirth</w:t>
      </w:r>
    </w:p>
    <w:p w14:paraId="445F8FB5" w14:textId="77777777" w:rsidR="005A2A07" w:rsidRPr="008107EE" w:rsidRDefault="005A2A07" w:rsidP="005A2A07">
      <w:pPr>
        <w:overflowPunct w:val="0"/>
        <w:autoSpaceDE w:val="0"/>
        <w:autoSpaceDN w:val="0"/>
        <w:adjustRightInd w:val="0"/>
        <w:spacing w:after="0" w:line="240" w:lineRule="auto"/>
        <w:jc w:val="both"/>
        <w:textAlignment w:val="baseline"/>
        <w:rPr>
          <w:rFonts w:eastAsia="Times New Roman" w:cs="Times New Roman"/>
          <w:lang w:eastAsia="cs-CZ"/>
        </w:rPr>
      </w:pPr>
      <w:r w:rsidRPr="008107EE">
        <w:rPr>
          <w:rFonts w:eastAsia="Times New Roman" w:cs="Times New Roman"/>
          <w:lang w:eastAsia="cs-CZ"/>
        </w:rPr>
        <w:t>Správa železnic, státní organizace</w:t>
      </w:r>
    </w:p>
    <w:p w14:paraId="2118FD4E" w14:textId="77777777" w:rsidR="005A2A07" w:rsidRPr="008107EE" w:rsidRDefault="005A2A07" w:rsidP="005A2A07">
      <w:pPr>
        <w:overflowPunct w:val="0"/>
        <w:autoSpaceDE w:val="0"/>
        <w:autoSpaceDN w:val="0"/>
        <w:adjustRightInd w:val="0"/>
        <w:spacing w:after="0" w:line="240" w:lineRule="auto"/>
        <w:jc w:val="both"/>
        <w:textAlignment w:val="baseline"/>
        <w:rPr>
          <w:rFonts w:eastAsia="Times New Roman" w:cs="Times New Roman"/>
          <w:lang w:eastAsia="cs-CZ"/>
        </w:rPr>
      </w:pPr>
      <w:r w:rsidRPr="008107EE">
        <w:rPr>
          <w:rFonts w:eastAsia="Times New Roman" w:cs="Times New Roman"/>
          <w:lang w:eastAsia="cs-CZ"/>
        </w:rPr>
        <w:t>Stavební správa západ</w:t>
      </w:r>
    </w:p>
    <w:p w14:paraId="56BA580D" w14:textId="77777777" w:rsidR="005A2A07" w:rsidRPr="008107EE" w:rsidRDefault="005A2A07" w:rsidP="005A2A07">
      <w:pPr>
        <w:pStyle w:val="Tabulka-9"/>
        <w:spacing w:after="0"/>
      </w:pPr>
      <w:r>
        <w:t xml:space="preserve">Ke Štvanici 656/3, 186 </w:t>
      </w:r>
      <w:proofErr w:type="gramStart"/>
      <w:r>
        <w:t>00  Praha</w:t>
      </w:r>
      <w:proofErr w:type="gramEnd"/>
      <w:r>
        <w:t xml:space="preserve"> 8</w:t>
      </w:r>
    </w:p>
    <w:p w14:paraId="45D0C5D6" w14:textId="77777777" w:rsidR="005A2A07" w:rsidRPr="008107EE" w:rsidRDefault="005A2A07" w:rsidP="005A2A07">
      <w:pPr>
        <w:pStyle w:val="Tabulka-9"/>
        <w:spacing w:after="0"/>
      </w:pPr>
      <w:r w:rsidRPr="008107EE">
        <w:t>Mobil + 420</w:t>
      </w:r>
      <w:r>
        <w:t> </w:t>
      </w:r>
      <w:r w:rsidRPr="008107EE">
        <w:t>72</w:t>
      </w:r>
      <w:r>
        <w:t>0 834 594</w:t>
      </w:r>
      <w:r w:rsidRPr="008107EE">
        <w:t>, e-mail: n</w:t>
      </w:r>
      <w:r>
        <w:t>euwirthz</w:t>
      </w:r>
      <w:r w:rsidRPr="008107EE">
        <w:t>@spravazeleznic.cz</w:t>
      </w:r>
    </w:p>
    <w:p w14:paraId="1E456976" w14:textId="10FB4136" w:rsidR="005841B5" w:rsidRPr="0030182C" w:rsidRDefault="005841B5" w:rsidP="005841B5">
      <w:pPr>
        <w:spacing w:after="120"/>
        <w:jc w:val="both"/>
        <w:rPr>
          <w:rFonts w:ascii="Verdana" w:hAnsi="Verdana"/>
        </w:rPr>
      </w:pP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w:t>
      </w:r>
      <w:proofErr w:type="gramStart"/>
      <w:r w:rsidR="00BF5650" w:rsidRPr="00382BD8">
        <w:t xml:space="preserve">Díla </w:t>
      </w:r>
      <w:r w:rsidRPr="00382BD8">
        <w:t xml:space="preserve"> je</w:t>
      </w:r>
      <w:proofErr w:type="gramEnd"/>
      <w:r w:rsidRPr="00382BD8">
        <w:t xml:space="preserv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lastRenderedPageBreak/>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 xml:space="preserve">Objednatel smí uplatnit nárok </w:t>
      </w:r>
      <w:proofErr w:type="gramStart"/>
      <w:r w:rsidRPr="00382BD8">
        <w:t>ze  záruky</w:t>
      </w:r>
      <w:proofErr w:type="gramEnd"/>
      <w:r w:rsidRPr="00382BD8">
        <w:t xml:space="preserve">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w:t>
      </w:r>
      <w:proofErr w:type="gramStart"/>
      <w:r w:rsidRPr="00382BD8">
        <w:t>ze  záruky</w:t>
      </w:r>
      <w:proofErr w:type="gramEnd"/>
      <w:r w:rsidRPr="00382BD8">
        <w:t xml:space="preserve"> za provedení Díla. </w:t>
      </w:r>
    </w:p>
    <w:p w14:paraId="514A4546" w14:textId="77777777" w:rsidR="00BF5650" w:rsidRPr="00382BD8" w:rsidRDefault="00BF5650" w:rsidP="00BF5650">
      <w:pPr>
        <w:spacing w:after="120"/>
        <w:jc w:val="both"/>
      </w:pPr>
      <w:r w:rsidRPr="00382BD8">
        <w:t xml:space="preserve">Objednatel musí Zhotovitele odškodnit a zajistit, aby mu nevznikla újma v případě povinnosti náhrady škody a v případě ztrát a výdajů (včetně poplatků a výdajů na právní služby), které jsou následkem nároku </w:t>
      </w:r>
      <w:proofErr w:type="gramStart"/>
      <w:r w:rsidRPr="00382BD8">
        <w:t>ze  záruky</w:t>
      </w:r>
      <w:proofErr w:type="gramEnd"/>
      <w:r w:rsidRPr="00382BD8">
        <w:t xml:space="preserve">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lastRenderedPageBreak/>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lastRenderedPageBreak/>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21EFE96D" w14:textId="77777777" w:rsidR="00F34DA1" w:rsidRDefault="00F34DA1" w:rsidP="00F34DA1">
      <w:pPr>
        <w:spacing w:after="120"/>
        <w:jc w:val="both"/>
        <w:rPr>
          <w:rFonts w:ascii="Verdana" w:hAnsi="Verdana"/>
          <w:i/>
          <w:color w:val="00B050"/>
        </w:rPr>
      </w:pP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 xml:space="preserve">Zhotovitel poruší povinnost udržovat v platnosti a ve stanovené výši Bankovní záruku za odstranění vad Díla nebo Pojistnou záruku za odstranění vad Díla za podmínek a po dobu stanovenou v Pod-článku </w:t>
      </w:r>
      <w:proofErr w:type="gramStart"/>
      <w:r w:rsidR="00673405" w:rsidRPr="00382BD8">
        <w:t>4.2.2  [</w:t>
      </w:r>
      <w:proofErr w:type="gramEnd"/>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lastRenderedPageBreak/>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lastRenderedPageBreak/>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682EFE77" w14:textId="77777777" w:rsidR="005E59A8" w:rsidRPr="00871FAC" w:rsidRDefault="005E59A8" w:rsidP="005E59A8">
      <w:pPr>
        <w:pStyle w:val="Nadpisbezsl1-2"/>
      </w:pPr>
      <w:r w:rsidRPr="00871FAC">
        <w:t>4.28</w:t>
      </w:r>
      <w:r>
        <w:tab/>
      </w:r>
      <w:r w:rsidRPr="00871FAC">
        <w:t>Postupné závazné milníky</w:t>
      </w:r>
    </w:p>
    <w:p w14:paraId="6DE50B2C" w14:textId="77777777" w:rsidR="005E59A8" w:rsidRDefault="005E59A8" w:rsidP="005E59A8">
      <w:pPr>
        <w:spacing w:after="120"/>
        <w:jc w:val="both"/>
        <w:rPr>
          <w:rFonts w:ascii="Verdana" w:hAnsi="Verdana"/>
        </w:rPr>
      </w:pPr>
      <w:r w:rsidRPr="00872369">
        <w:rPr>
          <w:rFonts w:ascii="Verdana" w:hAnsi="Verdana"/>
        </w:rPr>
        <w:t xml:space="preserve">Pro provádění Díla nejsou stanoveny žádné postupné milníky. </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lastRenderedPageBreak/>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Pr="005061D7" w:rsidRDefault="00330257" w:rsidP="009D228B">
      <w:pPr>
        <w:pStyle w:val="Nadpisbezsl1-2"/>
      </w:pPr>
      <w:r w:rsidRPr="00330257">
        <w:t xml:space="preserve">5.1 </w:t>
      </w:r>
      <w:r w:rsidR="009D228B">
        <w:tab/>
      </w:r>
      <w:r w:rsidRPr="00330257">
        <w:t xml:space="preserve">Doba pro oznámení chyb, nedostatků nebo jiných vad v Požadavcích </w:t>
      </w:r>
      <w:r w:rsidRPr="005061D7">
        <w:t>objednatele</w:t>
      </w:r>
    </w:p>
    <w:p w14:paraId="56D86465" w14:textId="2D5C7ACB" w:rsidR="00330257" w:rsidRPr="005061D7" w:rsidRDefault="00330257" w:rsidP="009B6B4D">
      <w:pPr>
        <w:pStyle w:val="Odrka1-1"/>
        <w:numPr>
          <w:ilvl w:val="0"/>
          <w:numId w:val="0"/>
        </w:numPr>
        <w:spacing w:before="120"/>
      </w:pPr>
      <w:r w:rsidRPr="005061D7">
        <w:t xml:space="preserve">Zhotovitel je povinen oznámit Správci stavby chyby, nedostatky nebo jiné vady nalezené v Požadavcích objednatele (včetně </w:t>
      </w:r>
      <w:r w:rsidR="009B6B4D" w:rsidRPr="005061D7">
        <w:t>p</w:t>
      </w:r>
      <w:r w:rsidRPr="005061D7">
        <w:t>arametrů projektové</w:t>
      </w:r>
      <w:r w:rsidR="009B6B4D" w:rsidRPr="005061D7">
        <w:t xml:space="preserve"> dokumentac</w:t>
      </w:r>
      <w:r w:rsidR="00B172EC" w:rsidRPr="005061D7">
        <w:t>e</w:t>
      </w:r>
      <w:r w:rsidR="009B6B4D" w:rsidRPr="005061D7">
        <w:t xml:space="preserve"> a výpočtů, jsou</w:t>
      </w:r>
      <w:r w:rsidR="00B172EC" w:rsidRPr="005061D7">
        <w:t>-</w:t>
      </w:r>
      <w:r w:rsidR="009B6B4D" w:rsidRPr="005061D7">
        <w:t xml:space="preserve">li takové) a v referenčních prvcích uvedených v pod-článku 4.7 </w:t>
      </w:r>
      <w:r w:rsidR="00907C76" w:rsidRPr="005061D7">
        <w:t xml:space="preserve">[Vytyčení] </w:t>
      </w:r>
      <w:r w:rsidR="009B6B4D" w:rsidRPr="005061D7">
        <w:t xml:space="preserve">do </w:t>
      </w:r>
      <w:r w:rsidR="00CF7F4F" w:rsidRPr="005061D7">
        <w:t>14 dnů</w:t>
      </w:r>
      <w:r w:rsidR="009B6B4D" w:rsidRPr="005061D7">
        <w:t xml:space="preserve"> dní od Data zahájení prací.</w:t>
      </w:r>
    </w:p>
    <w:p w14:paraId="7E19925B" w14:textId="16407925" w:rsidR="00FE06B6" w:rsidRPr="005061D7" w:rsidRDefault="00245C9C" w:rsidP="009D228B">
      <w:pPr>
        <w:pStyle w:val="Nadpisbezsl1-2"/>
      </w:pPr>
      <w:r w:rsidRPr="005061D7">
        <w:t>6.</w:t>
      </w:r>
      <w:r w:rsidR="00E71E40" w:rsidRPr="005061D7">
        <w:t>9</w:t>
      </w:r>
      <w:r w:rsidR="009D228B" w:rsidRPr="005061D7">
        <w:tab/>
      </w:r>
      <w:r w:rsidRPr="005061D7">
        <w:t>Personál zhotovitele</w:t>
      </w:r>
    </w:p>
    <w:p w14:paraId="1C3E30A2" w14:textId="205B87DF" w:rsidR="00245C9C" w:rsidRPr="005061D7" w:rsidRDefault="00245C9C" w:rsidP="009B6B4D">
      <w:pPr>
        <w:pStyle w:val="Odrka1-1"/>
        <w:numPr>
          <w:ilvl w:val="0"/>
          <w:numId w:val="0"/>
        </w:numPr>
        <w:spacing w:before="120"/>
        <w:rPr>
          <w:color w:val="FF0000"/>
        </w:rPr>
      </w:pPr>
      <w:r w:rsidRPr="005061D7">
        <w:t xml:space="preserve">V pátém odstavci Pod-článku 6.9 se slovní spojení „originály nebo úředně ověřené“ vypouští bez náhrady. </w:t>
      </w:r>
    </w:p>
    <w:p w14:paraId="4690656F" w14:textId="54A19D51" w:rsidR="00C96E7C" w:rsidRPr="005061D7" w:rsidRDefault="009B6B4D" w:rsidP="009D228B">
      <w:pPr>
        <w:pStyle w:val="Nadpisbezsl1-2"/>
      </w:pPr>
      <w:r w:rsidRPr="005061D7">
        <w:t>8.2</w:t>
      </w:r>
      <w:r w:rsidR="009D228B" w:rsidRPr="005061D7">
        <w:tab/>
      </w:r>
      <w:r w:rsidRPr="005061D7">
        <w:t>Doba pro dokončení</w:t>
      </w:r>
    </w:p>
    <w:p w14:paraId="2C903EFF" w14:textId="663BAD83" w:rsidR="00C96E7C" w:rsidRDefault="00C96E7C" w:rsidP="005D168C">
      <w:pPr>
        <w:pStyle w:val="Textbezodsazen"/>
      </w:pPr>
      <w:r w:rsidRPr="005061D7">
        <w:t>Zhotovitel je povinen dokončit celé Dílo včetně příslušné dokumentace dle pod-článku 7.9 do</w:t>
      </w:r>
      <w:r w:rsidR="005D168C" w:rsidRPr="005061D7">
        <w:t xml:space="preserve"> </w:t>
      </w:r>
      <w:r w:rsidR="001C4E43" w:rsidRPr="005061D7">
        <w:t xml:space="preserve">    </w:t>
      </w:r>
      <w:r w:rsidR="008E4A0D">
        <w:rPr>
          <w:b/>
          <w:bCs/>
        </w:rPr>
        <w:t>26</w:t>
      </w:r>
      <w:r w:rsidR="00CF7F4F" w:rsidRPr="005061D7">
        <w:rPr>
          <w:b/>
          <w:bCs/>
        </w:rPr>
        <w:t xml:space="preserve"> měsíců</w:t>
      </w:r>
      <w:r w:rsidR="00CF7F4F" w:rsidRPr="005061D7">
        <w:t xml:space="preserve"> </w:t>
      </w:r>
      <w:r w:rsidRPr="005061D7">
        <w:t>od Data zahájení prací.</w:t>
      </w:r>
    </w:p>
    <w:p w14:paraId="2B9ED09F" w14:textId="1FBD14EF" w:rsidR="00C96E7C" w:rsidRDefault="00C96E7C" w:rsidP="009D228B">
      <w:pPr>
        <w:pStyle w:val="Nadpisbezsl1-2"/>
      </w:pPr>
      <w:r>
        <w:t>8.2, 1.1.3.10</w:t>
      </w:r>
      <w:r w:rsidR="009D228B">
        <w:tab/>
      </w:r>
      <w:r>
        <w:t>Doba pro uvedení do provozu</w:t>
      </w:r>
    </w:p>
    <w:p w14:paraId="06B6361D" w14:textId="4A922FB3" w:rsidR="00C96E7C" w:rsidRPr="0003636C" w:rsidRDefault="00C96E7C" w:rsidP="005D168C">
      <w:pPr>
        <w:pStyle w:val="Textbezodsazen"/>
      </w:pPr>
      <w:r>
        <w:t xml:space="preserve">Zhotovitel je povinen dokončit </w:t>
      </w:r>
      <w:r w:rsidRPr="001C4E43">
        <w:t xml:space="preserve">Dílo </w:t>
      </w:r>
      <w:r w:rsidR="00582C15">
        <w:t>v </w:t>
      </w:r>
      <w:r>
        <w:t xml:space="preserve">rozsahu nezbytném pro účely uvedení Díla nebo Sekce do provozu za podmínek </w:t>
      </w:r>
      <w:r w:rsidR="004525C2">
        <w:t xml:space="preserve">zákona </w:t>
      </w:r>
      <w:r w:rsidR="004525C2" w:rsidRPr="004525C2">
        <w:t xml:space="preserve">č. 283/2021 Sb. Stavební </w:t>
      </w:r>
      <w:r w:rsidR="004525C2" w:rsidRPr="0003636C">
        <w:t xml:space="preserve">zákon, platný od 01. 01. 2024 (dále též jen „NSZ“), a zákona č.266/1994 Sb., o dráhách, </w:t>
      </w:r>
      <w:r w:rsidRPr="0003636C">
        <w:t xml:space="preserve">nejpozději </w:t>
      </w:r>
      <w:r w:rsidRPr="0003636C">
        <w:rPr>
          <w:b/>
          <w:bCs/>
        </w:rPr>
        <w:t xml:space="preserve">do </w:t>
      </w:r>
      <w:r w:rsidR="00815125" w:rsidRPr="0003636C">
        <w:rPr>
          <w:b/>
          <w:bCs/>
        </w:rPr>
        <w:t>2</w:t>
      </w:r>
      <w:r w:rsidR="008E4A0D">
        <w:rPr>
          <w:b/>
          <w:bCs/>
        </w:rPr>
        <w:t>0</w:t>
      </w:r>
      <w:r w:rsidR="00815125" w:rsidRPr="0003636C">
        <w:rPr>
          <w:b/>
          <w:bCs/>
        </w:rPr>
        <w:t xml:space="preserve"> </w:t>
      </w:r>
      <w:r w:rsidR="001C4E43" w:rsidRPr="0003636C">
        <w:rPr>
          <w:b/>
          <w:bCs/>
        </w:rPr>
        <w:t>měsíců</w:t>
      </w:r>
      <w:r w:rsidR="001C4E43" w:rsidRPr="0003636C">
        <w:t xml:space="preserve"> </w:t>
      </w:r>
      <w:r w:rsidRPr="0003636C">
        <w:t>od Data zahájení</w:t>
      </w:r>
      <w:r w:rsidR="00815125" w:rsidRPr="0003636C">
        <w:t xml:space="preserve"> </w:t>
      </w:r>
      <w:r w:rsidRPr="0003636C">
        <w:t>prací</w:t>
      </w:r>
      <w:r w:rsidR="001C4E43" w:rsidRPr="0003636C">
        <w:t xml:space="preserve">. </w:t>
      </w:r>
      <w:r w:rsidRPr="0003636C">
        <w:t xml:space="preserve"> </w:t>
      </w:r>
    </w:p>
    <w:p w14:paraId="0BFB6B56" w14:textId="77777777" w:rsidR="00C96E7C" w:rsidRDefault="00C96E7C" w:rsidP="009D228B">
      <w:pPr>
        <w:pStyle w:val="Nadpisbezsl1-2"/>
      </w:pPr>
      <w:proofErr w:type="gramStart"/>
      <w:r w:rsidRPr="0003636C">
        <w:t>8.7  Náhrada</w:t>
      </w:r>
      <w:proofErr w:type="gramEnd"/>
      <w:r w:rsidRPr="0003636C">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lastRenderedPageBreak/>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proofErr w:type="spellStart"/>
      <w:r w:rsidR="00432CCA" w:rsidRPr="004456AB">
        <w:rPr>
          <w:b w:val="0"/>
          <w:sz w:val="18"/>
          <w:szCs w:val="18"/>
        </w:rPr>
        <w:t>uje</w:t>
      </w:r>
      <w:proofErr w:type="spellEnd"/>
      <w:r w:rsidR="00432CCA" w:rsidRPr="004456AB">
        <w:rPr>
          <w:b w:val="0"/>
          <w:sz w:val="18"/>
          <w:szCs w:val="18"/>
        </w:rPr>
        <w:t xml:space="preserv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lastRenderedPageBreak/>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4DD1E3E3" w:rsidR="00C96E7C" w:rsidRPr="00C827B8" w:rsidRDefault="00432CCA" w:rsidP="009D228B">
      <w:pPr>
        <w:pStyle w:val="Nadpisbezsl1-2"/>
      </w:pPr>
      <w:proofErr w:type="gramStart"/>
      <w:r w:rsidRPr="00C827B8">
        <w:t>14.2</w:t>
      </w:r>
      <w:r w:rsidR="00C96E7C" w:rsidRPr="00C827B8">
        <w:t xml:space="preserve"> </w:t>
      </w:r>
      <w:r w:rsidR="005061D7" w:rsidRPr="00C827B8">
        <w:t xml:space="preserve"> </w:t>
      </w:r>
      <w:r w:rsidR="00EA61D3" w:rsidRPr="00C827B8">
        <w:t>Podmínky</w:t>
      </w:r>
      <w:proofErr w:type="gramEnd"/>
      <w:r w:rsidR="00EA61D3" w:rsidRPr="00C827B8">
        <w:t xml:space="preserve"> p</w:t>
      </w:r>
      <w:r w:rsidRPr="00C827B8">
        <w:t>os</w:t>
      </w:r>
      <w:r w:rsidR="00EA61D3" w:rsidRPr="00C827B8">
        <w:t xml:space="preserve">kytnutí zálohové platby </w:t>
      </w:r>
      <w:r w:rsidR="00C96E7C" w:rsidRPr="00C827B8">
        <w:t xml:space="preserve"> </w:t>
      </w:r>
    </w:p>
    <w:p w14:paraId="594050BA" w14:textId="77777777" w:rsidR="00403511" w:rsidRPr="00C827B8" w:rsidRDefault="00403511" w:rsidP="00403511">
      <w:p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 xml:space="preserve">V případě poskytnutí zálohové platby bude tato poskytnuta Zhotoviteli na základě písemné žádosti Zhotovitele (jejíž součástí bude zálohová faktura, případně samostatné zálohové faktury pro výdaje způsobilé ke spolufinancování ze zdrojů EU a pro výdaje nezpůsobilé ke spolufinancování ze zdrojů EU), která musí splňovat podmínky pro její podání a kterou může Zhotovitel podat Objednateli nejdříve po uplynutí 60 dnů od účinnosti Smlouvy. Vzor žádosti je uveden v Příloze č. </w:t>
      </w:r>
      <w:proofErr w:type="gramStart"/>
      <w:r w:rsidRPr="00C827B8">
        <w:rPr>
          <w:rFonts w:ascii="Verdana" w:eastAsia="Aptos" w:hAnsi="Verdana" w:cs="Aptos"/>
          <w14:ligatures w14:val="standardContextual"/>
        </w:rPr>
        <w:t>9  Smlouvy</w:t>
      </w:r>
      <w:proofErr w:type="gramEnd"/>
      <w:r w:rsidRPr="00C827B8">
        <w:rPr>
          <w:rFonts w:ascii="Verdana" w:eastAsia="Aptos" w:hAnsi="Verdana" w:cs="Aptos"/>
          <w14:ligatures w14:val="standardContextual"/>
        </w:rPr>
        <w:t xml:space="preserve"> o dílo.  </w:t>
      </w:r>
    </w:p>
    <w:p w14:paraId="3895884A" w14:textId="77777777" w:rsidR="00403511" w:rsidRPr="00C827B8" w:rsidRDefault="00403511" w:rsidP="00403511">
      <w:pPr>
        <w:spacing w:after="0" w:line="240" w:lineRule="auto"/>
        <w:jc w:val="both"/>
        <w:rPr>
          <w:rFonts w:ascii="Verdana" w:eastAsia="Aptos" w:hAnsi="Verdana" w:cs="Aptos"/>
          <w14:ligatures w14:val="standardContextual"/>
        </w:rPr>
      </w:pPr>
    </w:p>
    <w:p w14:paraId="1365CE5C" w14:textId="1CD15248" w:rsidR="00403511" w:rsidRPr="00C827B8" w:rsidRDefault="00403511" w:rsidP="00403511">
      <w:p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 k realizaci pro příslušné po sobě jdoucí 3 kalendářní měsíce dle podrobného Harmonogramu, max. však vždy ve výši rovnající se </w:t>
      </w:r>
      <w:r w:rsidR="00C827B8" w:rsidRPr="00C827B8">
        <w:rPr>
          <w:rFonts w:ascii="Verdana" w:eastAsia="Aptos" w:hAnsi="Verdana" w:cs="Aptos"/>
          <w14:ligatures w14:val="standardContextual"/>
        </w:rPr>
        <w:t>30</w:t>
      </w:r>
      <w:r w:rsidRPr="00C827B8">
        <w:rPr>
          <w:rFonts w:ascii="Verdana" w:eastAsia="Aptos" w:hAnsi="Verdana" w:cs="Aptos"/>
          <w14:ligatures w14:val="standardContextual"/>
        </w:rPr>
        <w:t xml:space="preserve"> % (Zde lze uvést hodnotu max.30 %, obvykle 20 % - 30 %) smluvní hodnoty prací předpokládaných k realizaci pro příslušný kalendářní rok dle podrobného </w:t>
      </w:r>
      <w:proofErr w:type="gramStart"/>
      <w:r w:rsidRPr="00C827B8">
        <w:rPr>
          <w:rFonts w:ascii="Verdana" w:eastAsia="Aptos" w:hAnsi="Verdana" w:cs="Aptos"/>
          <w14:ligatures w14:val="standardContextual"/>
        </w:rPr>
        <w:t>Harmonogramu  [</w:t>
      </w:r>
      <w:proofErr w:type="gramEnd"/>
      <w:r w:rsidRPr="00C827B8">
        <w:rPr>
          <w:rFonts w:ascii="Verdana" w:eastAsia="Aptos" w:hAnsi="Verdana" w:cs="Aptos"/>
          <w14:ligatures w14:val="standardContextual"/>
        </w:rPr>
        <w:t xml:space="preserve">8.3 Harmonogram] a 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p>
    <w:p w14:paraId="02CE8759" w14:textId="77777777" w:rsidR="00403511" w:rsidRPr="00C827B8" w:rsidRDefault="00403511" w:rsidP="00403511">
      <w:pPr>
        <w:spacing w:after="0" w:line="240" w:lineRule="auto"/>
        <w:jc w:val="both"/>
        <w:rPr>
          <w:rFonts w:ascii="Verdana" w:eastAsia="Aptos" w:hAnsi="Verdana" w:cs="Aptos"/>
          <w14:ligatures w14:val="standardContextual"/>
        </w:rPr>
      </w:pPr>
    </w:p>
    <w:p w14:paraId="43AA4A48" w14:textId="77777777" w:rsidR="00403511" w:rsidRPr="00C827B8" w:rsidRDefault="00403511" w:rsidP="00403511">
      <w:p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 xml:space="preserve">Žádost o poskytnutí zálohové platby v příslušném kalendářním roce je třeba doručit Objednateli nejpozději do 30. 9. příslušného kalendářního roku; v případě pozdějšího doručení žádosti Objednatel negarantuje poskytnutí zálohové platby v tomto kalendářním roce.  </w:t>
      </w:r>
    </w:p>
    <w:p w14:paraId="0960D37E" w14:textId="77777777" w:rsidR="00403511" w:rsidRPr="00C827B8" w:rsidRDefault="00403511" w:rsidP="00403511">
      <w:pPr>
        <w:spacing w:after="0" w:line="240" w:lineRule="auto"/>
        <w:jc w:val="both"/>
        <w:rPr>
          <w:rFonts w:ascii="Verdana" w:eastAsia="Aptos" w:hAnsi="Verdana" w:cs="Aptos"/>
          <w14:ligatures w14:val="standardContextual"/>
        </w:rPr>
      </w:pPr>
    </w:p>
    <w:p w14:paraId="76F08219" w14:textId="77777777" w:rsidR="00403511" w:rsidRPr="00C827B8" w:rsidRDefault="00403511" w:rsidP="00403511">
      <w:p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03BBE00A" w14:textId="77777777" w:rsidR="00403511" w:rsidRPr="00C827B8" w:rsidRDefault="00403511" w:rsidP="00403511">
      <w:p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 xml:space="preserve">Nebude-li zálohová platba zúčtována za skutečně provedené práce v zálohovaném období v plné výši, využije Zhotovitel nezúčtovaný zůstatek zálohové platby pro zhotovování Díla v období nadcházejícím tím, že: </w:t>
      </w:r>
    </w:p>
    <w:p w14:paraId="5261AC17" w14:textId="77777777" w:rsidR="00403511" w:rsidRPr="00C827B8" w:rsidRDefault="00403511" w:rsidP="00403511">
      <w:pPr>
        <w:spacing w:after="0" w:line="240" w:lineRule="auto"/>
        <w:jc w:val="both"/>
        <w:rPr>
          <w:rFonts w:ascii="Verdana" w:eastAsia="Aptos" w:hAnsi="Verdana" w:cs="Aptos"/>
          <w14:ligatures w14:val="standardContextual"/>
        </w:rPr>
      </w:pPr>
    </w:p>
    <w:p w14:paraId="598E82EC" w14:textId="77777777" w:rsidR="00403511" w:rsidRPr="00C827B8" w:rsidRDefault="00403511" w:rsidP="00403511">
      <w:pPr>
        <w:numPr>
          <w:ilvl w:val="0"/>
          <w:numId w:val="5"/>
        </w:num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Zhotovitel prokazatelně oznámí Objednateli do 15 dnů ode dne uplynutí zálohovaného období prodloužení zálohovaného období, a to o počet kalendářních měsíců, v </w:t>
      </w:r>
      <w:proofErr w:type="gramStart"/>
      <w:r w:rsidRPr="00C827B8">
        <w:rPr>
          <w:rFonts w:ascii="Verdana" w:eastAsia="Aptos" w:hAnsi="Verdana" w:cs="Aptos"/>
          <w14:ligatures w14:val="standardContextual"/>
        </w:rPr>
        <w:t>průběhu</w:t>
      </w:r>
      <w:proofErr w:type="gramEnd"/>
      <w:r w:rsidRPr="00C827B8">
        <w:rPr>
          <w:rFonts w:ascii="Verdana" w:eastAsia="Aptos" w:hAnsi="Verdana" w:cs="Aptos"/>
          <w14:ligatures w14:val="standardContextual"/>
        </w:rPr>
        <w:t xml:space="preserve"> kterých má, dle aktuálního podrobného Harmonogramu, dojít k zúčtování celého zůstatku poskytnuté zálohové platby za skutečně provedené práce do doby uvedení Díla do provozu. </w:t>
      </w:r>
    </w:p>
    <w:p w14:paraId="4B4186C7" w14:textId="77777777" w:rsidR="00403511" w:rsidRPr="00C827B8" w:rsidRDefault="00403511" w:rsidP="00403511">
      <w:pPr>
        <w:numPr>
          <w:ilvl w:val="0"/>
          <w:numId w:val="5"/>
        </w:num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V návaznosti na toto oznámení je Zhotovitel zároveň povinen nejpozději do 30 dnů ode dne uplynutí zálohovaného období předat Objednateli Bankovní záruku za zálohu nebo Pojistnou záruku za zálohu splňující ustanovení pod-článku 14.2 Zvláštních podmínek, tj. kromě dalšího, bude Objednateli předaná Bankovní záruka za zálohu nebo Pojistná záruka za zálohu platná a vymahatelná po dobu o 60 dnů delší, než je Zhotovitelem oznámené prodloužené zálohované období dle bodu 1.</w:t>
      </w:r>
    </w:p>
    <w:p w14:paraId="2BDC617A" w14:textId="77777777" w:rsidR="00403511" w:rsidRPr="00C827B8" w:rsidRDefault="00403511" w:rsidP="00403511">
      <w:pPr>
        <w:numPr>
          <w:ilvl w:val="0"/>
          <w:numId w:val="5"/>
        </w:num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 xml:space="preserve">Nezúčtovaná část zálohové platby v zálohovaném období musí být v prodlouženém zálohovaném období zúčtovávána obdobně jako v zálohovaném období, tj. formou odpočtů částek potvrzených v nejbližších po sobě následujících Potvrzeních průběžné platby, tj. v po sobě následujících fakturách skutečného plnění. </w:t>
      </w:r>
    </w:p>
    <w:p w14:paraId="40944F5A" w14:textId="77777777" w:rsidR="00403511" w:rsidRPr="00C827B8" w:rsidRDefault="00403511" w:rsidP="00403511">
      <w:pPr>
        <w:numPr>
          <w:ilvl w:val="0"/>
          <w:numId w:val="5"/>
        </w:num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 xml:space="preserve">K oznámení o prodloužení zálohovaného období, se současným prodloužením Bankovní záruky za zálohu nebo Pojistné záruky za zálohu, lze v případech, kdykoli je předchozí podrobný Harmonogram v rozporu se skutečným postupem, přistoupit opakovaně, a to při splnění shodných podmínek, za kterých došlo k prodloužení zálohovaného období. </w:t>
      </w:r>
    </w:p>
    <w:p w14:paraId="22F3816C" w14:textId="77777777" w:rsidR="00403511" w:rsidRPr="00C827B8" w:rsidRDefault="00403511" w:rsidP="00403511">
      <w:pPr>
        <w:spacing w:after="0" w:line="240" w:lineRule="auto"/>
        <w:ind w:left="624"/>
        <w:jc w:val="both"/>
        <w:rPr>
          <w:rFonts w:ascii="Verdana" w:eastAsia="Aptos" w:hAnsi="Verdana" w:cs="Aptos"/>
          <w14:ligatures w14:val="standardContextual"/>
        </w:rPr>
      </w:pPr>
    </w:p>
    <w:p w14:paraId="14B4F4DB" w14:textId="77777777" w:rsidR="00403511" w:rsidRPr="00C827B8" w:rsidRDefault="00403511" w:rsidP="00403511">
      <w:pPr>
        <w:numPr>
          <w:ilvl w:val="0"/>
          <w:numId w:val="5"/>
        </w:num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V případě:</w:t>
      </w:r>
    </w:p>
    <w:p w14:paraId="7D224222" w14:textId="77777777" w:rsidR="00403511" w:rsidRPr="00C827B8" w:rsidRDefault="00403511" w:rsidP="00403511">
      <w:pPr>
        <w:numPr>
          <w:ilvl w:val="1"/>
          <w:numId w:val="56"/>
        </w:num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kdy Zhotovitel dle bodu 1 neoznámí prodloužení zálohovaného období, nebo nepředá Objednateli Bankovní záruku za zálohu nebo Pojistnou záruku za zálohu (viz bod 2), je povinen vrátit Objednateli nezúčtovanou část poskytnuté zálohové platby, a to do 30 dnů od uplynutí zálohovaného/prodlouženého zálohovaného období;</w:t>
      </w:r>
    </w:p>
    <w:p w14:paraId="2650049E" w14:textId="77777777" w:rsidR="00403511" w:rsidRPr="00C827B8" w:rsidRDefault="00403511" w:rsidP="00403511">
      <w:pPr>
        <w:numPr>
          <w:ilvl w:val="1"/>
          <w:numId w:val="56"/>
        </w:num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kdy dojde k ukončení smluvního vztahu, a to z jakéhokoli důvodu před dokončením Díla, je povinen vrátit Objednateli nezúčtovanou část poskytnuté zálohové platby, a to do 15 dnů od ukončení smluvního vztahu;</w:t>
      </w:r>
    </w:p>
    <w:p w14:paraId="66CDFB63" w14:textId="77777777" w:rsidR="00403511" w:rsidRPr="00C827B8" w:rsidRDefault="00403511" w:rsidP="00403511">
      <w:pPr>
        <w:numPr>
          <w:ilvl w:val="1"/>
          <w:numId w:val="56"/>
        </w:num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kdy Zhotovitel nezúčtuje zálohovou platbu do 31. 8. následujícího kalendářního roku po poskytnutí zálohové platby, je povinen vrátit Objednateli nezúčtovanou část poskytnuté zálohové platby, a to do 30. 9. tohoto následujícího kalendářního roku.</w:t>
      </w:r>
    </w:p>
    <w:p w14:paraId="05360B3B" w14:textId="77777777" w:rsidR="00403511" w:rsidRPr="00C827B8" w:rsidRDefault="00403511" w:rsidP="00403511">
      <w:pPr>
        <w:spacing w:after="0" w:line="240" w:lineRule="auto"/>
        <w:ind w:left="624"/>
        <w:jc w:val="both"/>
        <w:rPr>
          <w:rFonts w:ascii="Verdana" w:eastAsia="Aptos" w:hAnsi="Verdana" w:cs="Aptos"/>
          <w14:ligatures w14:val="standardContextual"/>
        </w:rPr>
      </w:pPr>
    </w:p>
    <w:p w14:paraId="0731E494" w14:textId="77777777" w:rsidR="00403511" w:rsidRPr="00C827B8" w:rsidRDefault="00403511" w:rsidP="00403511">
      <w:p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 xml:space="preserve">Po zúčtování celé předchozí zálohové platby a vrácení nezúčtovaného zůstatku zálohové platby může Zhotovitel předložit další žádost o poskytnutí zálohové platby a může mu být za stejných podmínek poskytnuta další zálohová platba. </w:t>
      </w:r>
    </w:p>
    <w:p w14:paraId="48A9204D" w14:textId="77777777" w:rsidR="00403511" w:rsidRPr="00C827B8" w:rsidRDefault="00403511" w:rsidP="00403511">
      <w:pPr>
        <w:spacing w:after="0" w:line="240" w:lineRule="auto"/>
        <w:jc w:val="both"/>
        <w:rPr>
          <w:rFonts w:ascii="Verdana" w:eastAsia="Aptos" w:hAnsi="Verdana" w:cs="Aptos"/>
          <w14:ligatures w14:val="standardContextual"/>
        </w:rPr>
      </w:pPr>
    </w:p>
    <w:p w14:paraId="201AAC8D" w14:textId="44854B5E" w:rsidR="00403511" w:rsidRPr="00C827B8" w:rsidRDefault="00403511" w:rsidP="00403511">
      <w:pPr>
        <w:spacing w:after="0" w:line="240" w:lineRule="auto"/>
        <w:jc w:val="both"/>
        <w:rPr>
          <w:rFonts w:ascii="Verdana" w:eastAsia="Aptos" w:hAnsi="Verdana" w:cs="Aptos"/>
          <w14:ligatures w14:val="standardContextual"/>
        </w:rPr>
      </w:pPr>
      <w:r w:rsidRPr="00C827B8">
        <w:rPr>
          <w:rFonts w:ascii="Verdana" w:eastAsia="Aptos" w:hAnsi="Verdana" w:cs="Aptos"/>
          <w14:ligatures w14:val="standardContextual"/>
        </w:rPr>
        <w:t xml:space="preserve">Celkový součet požadovaných zálohových plateb nesmí překročit Smluvní cenu. </w:t>
      </w:r>
    </w:p>
    <w:p w14:paraId="3A5A6C33" w14:textId="77777777" w:rsidR="00403511" w:rsidRPr="00C827B8" w:rsidRDefault="00403511" w:rsidP="00403511">
      <w:pPr>
        <w:spacing w:after="0" w:line="240" w:lineRule="auto"/>
        <w:jc w:val="both"/>
        <w:rPr>
          <w:rFonts w:ascii="Verdana" w:eastAsia="Aptos" w:hAnsi="Verdana" w:cs="Aptos"/>
          <w:sz w:val="20"/>
          <w:szCs w:val="20"/>
          <w14:ligatures w14:val="standardContextual"/>
        </w:rPr>
      </w:pPr>
    </w:p>
    <w:p w14:paraId="12332BF6" w14:textId="4FBDF9A2" w:rsidR="00C96E7C" w:rsidRDefault="00C96E7C" w:rsidP="00645028">
      <w:pPr>
        <w:pStyle w:val="Nadpisbezsl1-2"/>
      </w:pPr>
      <w:proofErr w:type="gramStart"/>
      <w:r w:rsidRPr="00C827B8">
        <w:t>14.5  Technologické</w:t>
      </w:r>
      <w:proofErr w:type="gramEnd"/>
      <w:r w:rsidRPr="00C827B8">
        <w:t xml:space="preserve"> materiály určené pro dílo</w:t>
      </w:r>
    </w:p>
    <w:p w14:paraId="502A46EC" w14:textId="461E9B16" w:rsidR="00C96E7C" w:rsidRDefault="00C96E7C" w:rsidP="003B3D1C">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DEA6BAC" w:rsidR="00C96E7C" w:rsidRDefault="00C96E7C" w:rsidP="009D228B">
      <w:pPr>
        <w:pStyle w:val="Nadpisbezsl1-2"/>
      </w:pPr>
      <w:r>
        <w:t>14.6</w:t>
      </w:r>
      <w:r w:rsidR="004718E5">
        <w:tab/>
      </w:r>
      <w:r>
        <w:t>Minimální částka Potvrzení průběžné platby</w:t>
      </w:r>
    </w:p>
    <w:p w14:paraId="7A06F5BC" w14:textId="6BB12E10" w:rsidR="00C96E7C" w:rsidRDefault="00C96E7C" w:rsidP="00582C15">
      <w:pPr>
        <w:pStyle w:val="Textbezodsazen"/>
        <w:rPr>
          <w:highlight w:val="green"/>
        </w:rPr>
      </w:pPr>
      <w:r>
        <w:t xml:space="preserve">Minimální částka Potvrzení průběžné platby není stanovena. </w:t>
      </w:r>
    </w:p>
    <w:p w14:paraId="780E1EBC" w14:textId="0F2F74E4"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lastRenderedPageBreak/>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89169" w14:textId="77777777" w:rsidR="008A6F50" w:rsidRDefault="008A6F50" w:rsidP="00962258">
      <w:pPr>
        <w:spacing w:after="0" w:line="240" w:lineRule="auto"/>
      </w:pPr>
      <w:r>
        <w:separator/>
      </w:r>
    </w:p>
  </w:endnote>
  <w:endnote w:type="continuationSeparator" w:id="0">
    <w:p w14:paraId="4B03B8C6" w14:textId="77777777" w:rsidR="008A6F50" w:rsidRDefault="008A6F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4ED1D880"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C827B8">
            <w:rPr>
              <w:rStyle w:val="Tun"/>
              <w:noProof/>
            </w:rPr>
            <w:t>„Rekonstrukce zastřešení v ŽST Kolín“</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6AEF48A6"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C827B8">
            <w:rPr>
              <w:rStyle w:val="Tun"/>
              <w:noProof/>
            </w:rPr>
            <w:t>„Rekonstrukce zastřešení v ŽST Kolín“</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3270D" w14:textId="77777777" w:rsidR="008A6F50" w:rsidRDefault="008A6F50" w:rsidP="00962258">
      <w:pPr>
        <w:spacing w:after="0" w:line="240" w:lineRule="auto"/>
      </w:pPr>
      <w:r>
        <w:separator/>
      </w:r>
    </w:p>
  </w:footnote>
  <w:footnote w:type="continuationSeparator" w:id="0">
    <w:p w14:paraId="7A52C9D9" w14:textId="77777777" w:rsidR="008A6F50" w:rsidRDefault="008A6F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012414909">
    <w:abstractNumId w:val="6"/>
  </w:num>
  <w:num w:numId="2" w16cid:durableId="1630428537">
    <w:abstractNumId w:val="2"/>
  </w:num>
  <w:num w:numId="3" w16cid:durableId="1276018510">
    <w:abstractNumId w:val="14"/>
  </w:num>
  <w:num w:numId="4" w16cid:durableId="754129507">
    <w:abstractNumId w:val="7"/>
  </w:num>
  <w:num w:numId="5" w16cid:durableId="20867627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2445532">
    <w:abstractNumId w:val="9"/>
  </w:num>
  <w:num w:numId="7" w16cid:durableId="490802864">
    <w:abstractNumId w:val="11"/>
  </w:num>
  <w:num w:numId="8" w16cid:durableId="669990620">
    <w:abstractNumId w:val="13"/>
  </w:num>
  <w:num w:numId="9" w16cid:durableId="1156263734">
    <w:abstractNumId w:val="0"/>
  </w:num>
  <w:num w:numId="10" w16cid:durableId="740982764">
    <w:abstractNumId w:val="4"/>
  </w:num>
  <w:num w:numId="11" w16cid:durableId="1253780437">
    <w:abstractNumId w:val="15"/>
  </w:num>
  <w:num w:numId="12" w16cid:durableId="296179650">
    <w:abstractNumId w:val="0"/>
  </w:num>
  <w:num w:numId="13" w16cid:durableId="1689671866">
    <w:abstractNumId w:val="4"/>
  </w:num>
  <w:num w:numId="14" w16cid:durableId="1171019810">
    <w:abstractNumId w:val="4"/>
  </w:num>
  <w:num w:numId="15" w16cid:durableId="2127190602">
    <w:abstractNumId w:val="9"/>
  </w:num>
  <w:num w:numId="16" w16cid:durableId="264004647">
    <w:abstractNumId w:val="9"/>
  </w:num>
  <w:num w:numId="17" w16cid:durableId="143936425">
    <w:abstractNumId w:val="9"/>
  </w:num>
  <w:num w:numId="18" w16cid:durableId="1433159830">
    <w:abstractNumId w:val="11"/>
  </w:num>
  <w:num w:numId="19" w16cid:durableId="1153137872">
    <w:abstractNumId w:val="11"/>
  </w:num>
  <w:num w:numId="20" w16cid:durableId="13960996">
    <w:abstractNumId w:val="11"/>
  </w:num>
  <w:num w:numId="21" w16cid:durableId="552885477">
    <w:abstractNumId w:val="13"/>
  </w:num>
  <w:num w:numId="22" w16cid:durableId="1404643792">
    <w:abstractNumId w:val="0"/>
  </w:num>
  <w:num w:numId="23" w16cid:durableId="543293763">
    <w:abstractNumId w:val="0"/>
  </w:num>
  <w:num w:numId="24" w16cid:durableId="845827031">
    <w:abstractNumId w:val="4"/>
  </w:num>
  <w:num w:numId="25" w16cid:durableId="1531650427">
    <w:abstractNumId w:val="4"/>
  </w:num>
  <w:num w:numId="26" w16cid:durableId="158932051">
    <w:abstractNumId w:val="15"/>
  </w:num>
  <w:num w:numId="27" w16cid:durableId="1890804972">
    <w:abstractNumId w:val="5"/>
  </w:num>
  <w:num w:numId="28" w16cid:durableId="1107500335">
    <w:abstractNumId w:val="0"/>
  </w:num>
  <w:num w:numId="29" w16cid:durableId="1147478026">
    <w:abstractNumId w:val="4"/>
  </w:num>
  <w:num w:numId="30" w16cid:durableId="533466072">
    <w:abstractNumId w:val="4"/>
  </w:num>
  <w:num w:numId="31" w16cid:durableId="1792091304">
    <w:abstractNumId w:val="9"/>
  </w:num>
  <w:num w:numId="32" w16cid:durableId="844563298">
    <w:abstractNumId w:val="9"/>
  </w:num>
  <w:num w:numId="33" w16cid:durableId="1739013656">
    <w:abstractNumId w:val="9"/>
  </w:num>
  <w:num w:numId="34" w16cid:durableId="1348168152">
    <w:abstractNumId w:val="9"/>
  </w:num>
  <w:num w:numId="35" w16cid:durableId="1770807472">
    <w:abstractNumId w:val="11"/>
  </w:num>
  <w:num w:numId="36" w16cid:durableId="889998700">
    <w:abstractNumId w:val="11"/>
  </w:num>
  <w:num w:numId="37" w16cid:durableId="831487410">
    <w:abstractNumId w:val="11"/>
  </w:num>
  <w:num w:numId="38" w16cid:durableId="75176752">
    <w:abstractNumId w:val="11"/>
  </w:num>
  <w:num w:numId="39" w16cid:durableId="472451557">
    <w:abstractNumId w:val="13"/>
  </w:num>
  <w:num w:numId="40" w16cid:durableId="145242206">
    <w:abstractNumId w:val="0"/>
  </w:num>
  <w:num w:numId="41" w16cid:durableId="202712845">
    <w:abstractNumId w:val="0"/>
  </w:num>
  <w:num w:numId="42" w16cid:durableId="1788231317">
    <w:abstractNumId w:val="4"/>
  </w:num>
  <w:num w:numId="43" w16cid:durableId="539123356">
    <w:abstractNumId w:val="4"/>
  </w:num>
  <w:num w:numId="44" w16cid:durableId="214388959">
    <w:abstractNumId w:val="15"/>
  </w:num>
  <w:num w:numId="45" w16cid:durableId="661936000">
    <w:abstractNumId w:val="10"/>
  </w:num>
  <w:num w:numId="46" w16cid:durableId="432558478">
    <w:abstractNumId w:val="12"/>
  </w:num>
  <w:num w:numId="47" w16cid:durableId="1880193791">
    <w:abstractNumId w:val="16"/>
  </w:num>
  <w:num w:numId="48" w16cid:durableId="1027754605">
    <w:abstractNumId w:val="16"/>
    <w:lvlOverride w:ilvl="0">
      <w:startOverride w:val="1"/>
    </w:lvlOverride>
  </w:num>
  <w:num w:numId="49" w16cid:durableId="208345156">
    <w:abstractNumId w:val="8"/>
  </w:num>
  <w:num w:numId="50" w16cid:durableId="998732716">
    <w:abstractNumId w:val="1"/>
  </w:num>
  <w:num w:numId="51" w16cid:durableId="1593390153">
    <w:abstractNumId w:val="3"/>
  </w:num>
  <w:num w:numId="52" w16cid:durableId="1776291681">
    <w:abstractNumId w:val="1"/>
    <w:lvlOverride w:ilvl="0">
      <w:startOverride w:val="1"/>
    </w:lvlOverride>
  </w:num>
  <w:num w:numId="53" w16cid:durableId="1165899564">
    <w:abstractNumId w:val="1"/>
    <w:lvlOverride w:ilvl="0">
      <w:startOverride w:val="1"/>
    </w:lvlOverride>
  </w:num>
  <w:num w:numId="54" w16cid:durableId="2070036927">
    <w:abstractNumId w:val="1"/>
    <w:lvlOverride w:ilvl="0">
      <w:startOverride w:val="1"/>
    </w:lvlOverride>
  </w:num>
  <w:num w:numId="55" w16cid:durableId="1508860822">
    <w:abstractNumId w:val="1"/>
    <w:lvlOverride w:ilvl="0">
      <w:startOverride w:val="1"/>
    </w:lvlOverride>
  </w:num>
  <w:num w:numId="56" w16cid:durableId="9549475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3636C"/>
    <w:rsid w:val="00041EC8"/>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5569"/>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3A3F"/>
    <w:rsid w:val="00185FEC"/>
    <w:rsid w:val="00191449"/>
    <w:rsid w:val="00191F90"/>
    <w:rsid w:val="001A06CC"/>
    <w:rsid w:val="001A491F"/>
    <w:rsid w:val="001B163A"/>
    <w:rsid w:val="001B4678"/>
    <w:rsid w:val="001B4E74"/>
    <w:rsid w:val="001C4E43"/>
    <w:rsid w:val="001C524E"/>
    <w:rsid w:val="001C645F"/>
    <w:rsid w:val="001D3D61"/>
    <w:rsid w:val="001E3C56"/>
    <w:rsid w:val="001E678E"/>
    <w:rsid w:val="001F20C0"/>
    <w:rsid w:val="001F34A6"/>
    <w:rsid w:val="00205545"/>
    <w:rsid w:val="002071BB"/>
    <w:rsid w:val="00207DF5"/>
    <w:rsid w:val="00215AF3"/>
    <w:rsid w:val="00215BBB"/>
    <w:rsid w:val="0023464E"/>
    <w:rsid w:val="00235D7C"/>
    <w:rsid w:val="00240B81"/>
    <w:rsid w:val="00240CCC"/>
    <w:rsid w:val="00244767"/>
    <w:rsid w:val="00245C9C"/>
    <w:rsid w:val="00247D01"/>
    <w:rsid w:val="00251404"/>
    <w:rsid w:val="00252B62"/>
    <w:rsid w:val="00257246"/>
    <w:rsid w:val="00261A5B"/>
    <w:rsid w:val="00262343"/>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4B56"/>
    <w:rsid w:val="002E4BA0"/>
    <w:rsid w:val="002E5C7B"/>
    <w:rsid w:val="002F4333"/>
    <w:rsid w:val="003013A6"/>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B3D1C"/>
    <w:rsid w:val="003C33F2"/>
    <w:rsid w:val="003C5EBD"/>
    <w:rsid w:val="003D756E"/>
    <w:rsid w:val="003E420D"/>
    <w:rsid w:val="003E4C13"/>
    <w:rsid w:val="004001A6"/>
    <w:rsid w:val="00403511"/>
    <w:rsid w:val="00403788"/>
    <w:rsid w:val="004078F3"/>
    <w:rsid w:val="004153A3"/>
    <w:rsid w:val="004220DE"/>
    <w:rsid w:val="00422580"/>
    <w:rsid w:val="0042532F"/>
    <w:rsid w:val="00427593"/>
    <w:rsid w:val="00427794"/>
    <w:rsid w:val="00432CCA"/>
    <w:rsid w:val="00437FD1"/>
    <w:rsid w:val="00441B4D"/>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96C78"/>
    <w:rsid w:val="004C4399"/>
    <w:rsid w:val="004C4830"/>
    <w:rsid w:val="004C787C"/>
    <w:rsid w:val="004E0643"/>
    <w:rsid w:val="004E7A1F"/>
    <w:rsid w:val="004F4B9B"/>
    <w:rsid w:val="004F5923"/>
    <w:rsid w:val="00505A88"/>
    <w:rsid w:val="005061D7"/>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08C"/>
    <w:rsid w:val="00580245"/>
    <w:rsid w:val="00582C15"/>
    <w:rsid w:val="005835D0"/>
    <w:rsid w:val="005841B5"/>
    <w:rsid w:val="0058473B"/>
    <w:rsid w:val="005A1F44"/>
    <w:rsid w:val="005A2A07"/>
    <w:rsid w:val="005B65FC"/>
    <w:rsid w:val="005B7883"/>
    <w:rsid w:val="005B7C7D"/>
    <w:rsid w:val="005C0082"/>
    <w:rsid w:val="005C2FF4"/>
    <w:rsid w:val="005D168C"/>
    <w:rsid w:val="005D1779"/>
    <w:rsid w:val="005D1FC9"/>
    <w:rsid w:val="005D3C39"/>
    <w:rsid w:val="005E59A8"/>
    <w:rsid w:val="005F3E29"/>
    <w:rsid w:val="005F4BFD"/>
    <w:rsid w:val="00601A8C"/>
    <w:rsid w:val="00605DD8"/>
    <w:rsid w:val="0061012B"/>
    <w:rsid w:val="0061068E"/>
    <w:rsid w:val="006115D3"/>
    <w:rsid w:val="00616F3E"/>
    <w:rsid w:val="0063137C"/>
    <w:rsid w:val="0063642B"/>
    <w:rsid w:val="00643B60"/>
    <w:rsid w:val="00645028"/>
    <w:rsid w:val="00647AC6"/>
    <w:rsid w:val="006540D3"/>
    <w:rsid w:val="0065610E"/>
    <w:rsid w:val="00656725"/>
    <w:rsid w:val="006575AF"/>
    <w:rsid w:val="00660AD3"/>
    <w:rsid w:val="00664E1A"/>
    <w:rsid w:val="00671A0C"/>
    <w:rsid w:val="00673405"/>
    <w:rsid w:val="00673932"/>
    <w:rsid w:val="006776B6"/>
    <w:rsid w:val="00680727"/>
    <w:rsid w:val="00693150"/>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41A2"/>
    <w:rsid w:val="00755818"/>
    <w:rsid w:val="007610BA"/>
    <w:rsid w:val="0076286B"/>
    <w:rsid w:val="00766846"/>
    <w:rsid w:val="007723D2"/>
    <w:rsid w:val="0077673A"/>
    <w:rsid w:val="007846E1"/>
    <w:rsid w:val="007847D6"/>
    <w:rsid w:val="007A172F"/>
    <w:rsid w:val="007A5172"/>
    <w:rsid w:val="007A5DB5"/>
    <w:rsid w:val="007A67A0"/>
    <w:rsid w:val="007B065A"/>
    <w:rsid w:val="007B37D3"/>
    <w:rsid w:val="007B570C"/>
    <w:rsid w:val="007D05EA"/>
    <w:rsid w:val="007D4C3D"/>
    <w:rsid w:val="007D6B63"/>
    <w:rsid w:val="007D7136"/>
    <w:rsid w:val="007E4A6E"/>
    <w:rsid w:val="007F005E"/>
    <w:rsid w:val="007F4883"/>
    <w:rsid w:val="007F56A7"/>
    <w:rsid w:val="00800851"/>
    <w:rsid w:val="00807844"/>
    <w:rsid w:val="00807DD0"/>
    <w:rsid w:val="008107EE"/>
    <w:rsid w:val="00811ABB"/>
    <w:rsid w:val="008123B6"/>
    <w:rsid w:val="00813245"/>
    <w:rsid w:val="00815125"/>
    <w:rsid w:val="00821D01"/>
    <w:rsid w:val="00821F3A"/>
    <w:rsid w:val="00826B7B"/>
    <w:rsid w:val="0083024A"/>
    <w:rsid w:val="00830EF8"/>
    <w:rsid w:val="00831DC4"/>
    <w:rsid w:val="00837C92"/>
    <w:rsid w:val="00846789"/>
    <w:rsid w:val="008602BD"/>
    <w:rsid w:val="0086427D"/>
    <w:rsid w:val="00870145"/>
    <w:rsid w:val="00871FAC"/>
    <w:rsid w:val="00872369"/>
    <w:rsid w:val="008736AD"/>
    <w:rsid w:val="00874A95"/>
    <w:rsid w:val="008825B2"/>
    <w:rsid w:val="008850CB"/>
    <w:rsid w:val="00896E6B"/>
    <w:rsid w:val="008A3568"/>
    <w:rsid w:val="008A6F50"/>
    <w:rsid w:val="008B01FE"/>
    <w:rsid w:val="008B0618"/>
    <w:rsid w:val="008B6FA1"/>
    <w:rsid w:val="008C45C2"/>
    <w:rsid w:val="008C50F3"/>
    <w:rsid w:val="008C5235"/>
    <w:rsid w:val="008C6302"/>
    <w:rsid w:val="008C7EFE"/>
    <w:rsid w:val="008D03B9"/>
    <w:rsid w:val="008D0BE3"/>
    <w:rsid w:val="008D10F5"/>
    <w:rsid w:val="008D30C7"/>
    <w:rsid w:val="008D3BA4"/>
    <w:rsid w:val="008E4A0D"/>
    <w:rsid w:val="008F18D6"/>
    <w:rsid w:val="008F2C9B"/>
    <w:rsid w:val="008F797B"/>
    <w:rsid w:val="00904780"/>
    <w:rsid w:val="0090635B"/>
    <w:rsid w:val="00907C76"/>
    <w:rsid w:val="009162F5"/>
    <w:rsid w:val="00922385"/>
    <w:rsid w:val="009223DF"/>
    <w:rsid w:val="009223E5"/>
    <w:rsid w:val="00927D9C"/>
    <w:rsid w:val="00930B55"/>
    <w:rsid w:val="00936091"/>
    <w:rsid w:val="00940D8A"/>
    <w:rsid w:val="00962258"/>
    <w:rsid w:val="009678B7"/>
    <w:rsid w:val="00981D28"/>
    <w:rsid w:val="00992D9C"/>
    <w:rsid w:val="00994193"/>
    <w:rsid w:val="00996CB8"/>
    <w:rsid w:val="009A1658"/>
    <w:rsid w:val="009A46AB"/>
    <w:rsid w:val="009A6742"/>
    <w:rsid w:val="009B2E97"/>
    <w:rsid w:val="009B5146"/>
    <w:rsid w:val="009B641A"/>
    <w:rsid w:val="009B6B4D"/>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318A8"/>
    <w:rsid w:val="00A50641"/>
    <w:rsid w:val="00A530BF"/>
    <w:rsid w:val="00A5758E"/>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37F41"/>
    <w:rsid w:val="00B5431A"/>
    <w:rsid w:val="00B60896"/>
    <w:rsid w:val="00B63D86"/>
    <w:rsid w:val="00B75EE1"/>
    <w:rsid w:val="00B77481"/>
    <w:rsid w:val="00B8518B"/>
    <w:rsid w:val="00B87F3D"/>
    <w:rsid w:val="00B93136"/>
    <w:rsid w:val="00B93E40"/>
    <w:rsid w:val="00B97CC3"/>
    <w:rsid w:val="00BA0EBA"/>
    <w:rsid w:val="00BA3B85"/>
    <w:rsid w:val="00BA539F"/>
    <w:rsid w:val="00BB44BA"/>
    <w:rsid w:val="00BC05F2"/>
    <w:rsid w:val="00BC06C4"/>
    <w:rsid w:val="00BD7E91"/>
    <w:rsid w:val="00BD7F0D"/>
    <w:rsid w:val="00BE6657"/>
    <w:rsid w:val="00BF47B2"/>
    <w:rsid w:val="00BF5233"/>
    <w:rsid w:val="00BF5650"/>
    <w:rsid w:val="00BF6DA5"/>
    <w:rsid w:val="00C0031D"/>
    <w:rsid w:val="00C02D0A"/>
    <w:rsid w:val="00C03A6E"/>
    <w:rsid w:val="00C07D2F"/>
    <w:rsid w:val="00C226C0"/>
    <w:rsid w:val="00C33406"/>
    <w:rsid w:val="00C42FE6"/>
    <w:rsid w:val="00C44F6A"/>
    <w:rsid w:val="00C6198E"/>
    <w:rsid w:val="00C629F8"/>
    <w:rsid w:val="00C64271"/>
    <w:rsid w:val="00C6697E"/>
    <w:rsid w:val="00C708EA"/>
    <w:rsid w:val="00C732F0"/>
    <w:rsid w:val="00C778A5"/>
    <w:rsid w:val="00C8140E"/>
    <w:rsid w:val="00C827B8"/>
    <w:rsid w:val="00C83DCC"/>
    <w:rsid w:val="00C87FFB"/>
    <w:rsid w:val="00C9337E"/>
    <w:rsid w:val="00C9345B"/>
    <w:rsid w:val="00C95162"/>
    <w:rsid w:val="00C96E18"/>
    <w:rsid w:val="00C96E7C"/>
    <w:rsid w:val="00CA4082"/>
    <w:rsid w:val="00CA5A14"/>
    <w:rsid w:val="00CB6A37"/>
    <w:rsid w:val="00CB7684"/>
    <w:rsid w:val="00CC7C8F"/>
    <w:rsid w:val="00CD1FC4"/>
    <w:rsid w:val="00CD7066"/>
    <w:rsid w:val="00CD77AA"/>
    <w:rsid w:val="00CE3A81"/>
    <w:rsid w:val="00CF1410"/>
    <w:rsid w:val="00CF2351"/>
    <w:rsid w:val="00CF7F4F"/>
    <w:rsid w:val="00D025C7"/>
    <w:rsid w:val="00D034A0"/>
    <w:rsid w:val="00D03901"/>
    <w:rsid w:val="00D05FFD"/>
    <w:rsid w:val="00D11354"/>
    <w:rsid w:val="00D136A2"/>
    <w:rsid w:val="00D21061"/>
    <w:rsid w:val="00D246FC"/>
    <w:rsid w:val="00D30A59"/>
    <w:rsid w:val="00D30D72"/>
    <w:rsid w:val="00D32BA0"/>
    <w:rsid w:val="00D34790"/>
    <w:rsid w:val="00D36EA0"/>
    <w:rsid w:val="00D4108E"/>
    <w:rsid w:val="00D435C3"/>
    <w:rsid w:val="00D50A44"/>
    <w:rsid w:val="00D51B47"/>
    <w:rsid w:val="00D61557"/>
    <w:rsid w:val="00D6163D"/>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07F1"/>
    <w:rsid w:val="00E16FF7"/>
    <w:rsid w:val="00E26D68"/>
    <w:rsid w:val="00E33F32"/>
    <w:rsid w:val="00E37BAF"/>
    <w:rsid w:val="00E416CF"/>
    <w:rsid w:val="00E41EEA"/>
    <w:rsid w:val="00E43960"/>
    <w:rsid w:val="00E44045"/>
    <w:rsid w:val="00E46253"/>
    <w:rsid w:val="00E618C4"/>
    <w:rsid w:val="00E634B0"/>
    <w:rsid w:val="00E70CA9"/>
    <w:rsid w:val="00E71E40"/>
    <w:rsid w:val="00E72324"/>
    <w:rsid w:val="00E747B0"/>
    <w:rsid w:val="00E878EE"/>
    <w:rsid w:val="00EA61D3"/>
    <w:rsid w:val="00EA6EC7"/>
    <w:rsid w:val="00EB104F"/>
    <w:rsid w:val="00EB46E5"/>
    <w:rsid w:val="00EC11FF"/>
    <w:rsid w:val="00EC1B78"/>
    <w:rsid w:val="00EC63FF"/>
    <w:rsid w:val="00ED14BD"/>
    <w:rsid w:val="00ED1943"/>
    <w:rsid w:val="00ED7EB5"/>
    <w:rsid w:val="00EE2120"/>
    <w:rsid w:val="00EE6B23"/>
    <w:rsid w:val="00EF3412"/>
    <w:rsid w:val="00EF402D"/>
    <w:rsid w:val="00EF521A"/>
    <w:rsid w:val="00EF5716"/>
    <w:rsid w:val="00F016C7"/>
    <w:rsid w:val="00F12DEC"/>
    <w:rsid w:val="00F1715C"/>
    <w:rsid w:val="00F220AB"/>
    <w:rsid w:val="00F310F8"/>
    <w:rsid w:val="00F31345"/>
    <w:rsid w:val="00F34DA1"/>
    <w:rsid w:val="00F35939"/>
    <w:rsid w:val="00F45607"/>
    <w:rsid w:val="00F4722B"/>
    <w:rsid w:val="00F54432"/>
    <w:rsid w:val="00F57299"/>
    <w:rsid w:val="00F659EB"/>
    <w:rsid w:val="00F70EBE"/>
    <w:rsid w:val="00F74297"/>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1F4"/>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 w:type="paragraph" w:customStyle="1" w:styleId="PNTextbezodsazmezer">
    <w:name w:val="_PN_Text_bez_odsaz+mezer"/>
    <w:basedOn w:val="PNTextzkladn"/>
    <w:qFormat/>
    <w:rsid w:val="002E4B56"/>
    <w:pPr>
      <w:spacing w:after="0"/>
    </w:pPr>
  </w:style>
  <w:style w:type="paragraph" w:customStyle="1" w:styleId="Tabulka-7">
    <w:name w:val="_Tabulka-7"/>
    <w:basedOn w:val="Normln"/>
    <w:qFormat/>
    <w:rsid w:val="002E4B56"/>
    <w:pPr>
      <w:spacing w:before="20" w:after="20" w:line="240" w:lineRule="auto"/>
    </w:pPr>
    <w:rPr>
      <w:rFonts w:ascii="Verdana" w:hAnsi="Verdana"/>
      <w:sz w:val="14"/>
    </w:rPr>
  </w:style>
  <w:style w:type="paragraph" w:customStyle="1" w:styleId="TabulkaNadpis">
    <w:name w:val="_Tabulka_Nadpis"/>
    <w:basedOn w:val="Textbezslovn"/>
    <w:qFormat/>
    <w:rsid w:val="002E4B56"/>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Normln"/>
    <w:qFormat/>
    <w:rsid w:val="002E4B56"/>
    <w:pPr>
      <w:spacing w:before="40" w:after="40" w:line="240" w:lineRule="auto"/>
    </w:pPr>
    <w:rPr>
      <w:rFonts w:ascii="Verdana" w:hAnsi="Verdana"/>
    </w:rPr>
  </w:style>
  <w:style w:type="numbering" w:customStyle="1" w:styleId="ListNumbermultilevel1">
    <w:name w:val="List Number (multilevel)1"/>
    <w:uiPriority w:val="99"/>
    <w:rsid w:val="00403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547478">
      <w:bodyDiv w:val="1"/>
      <w:marLeft w:val="0"/>
      <w:marRight w:val="0"/>
      <w:marTop w:val="0"/>
      <w:marBottom w:val="0"/>
      <w:divBdr>
        <w:top w:val="none" w:sz="0" w:space="0" w:color="auto"/>
        <w:left w:val="none" w:sz="0" w:space="0" w:color="auto"/>
        <w:bottom w:val="none" w:sz="0" w:space="0" w:color="auto"/>
        <w:right w:val="none" w:sz="0" w:space="0" w:color="auto"/>
      </w:divBdr>
    </w:div>
    <w:div w:id="1053044431">
      <w:bodyDiv w:val="1"/>
      <w:marLeft w:val="0"/>
      <w:marRight w:val="0"/>
      <w:marTop w:val="0"/>
      <w:marBottom w:val="0"/>
      <w:divBdr>
        <w:top w:val="none" w:sz="0" w:space="0" w:color="auto"/>
        <w:left w:val="none" w:sz="0" w:space="0" w:color="auto"/>
        <w:bottom w:val="none" w:sz="0" w:space="0" w:color="auto"/>
        <w:right w:val="none" w:sz="0" w:space="0" w:color="auto"/>
      </w:divBdr>
    </w:div>
    <w:div w:id="144376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varnicky@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rnerm@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40A2"/>
    <w:rsid w:val="00155B79"/>
    <w:rsid w:val="001B69AF"/>
    <w:rsid w:val="001C31D8"/>
    <w:rsid w:val="001E7E49"/>
    <w:rsid w:val="001F2DA6"/>
    <w:rsid w:val="00240CCC"/>
    <w:rsid w:val="00244589"/>
    <w:rsid w:val="002B0162"/>
    <w:rsid w:val="002B5AF1"/>
    <w:rsid w:val="002C660C"/>
    <w:rsid w:val="003521B0"/>
    <w:rsid w:val="00385034"/>
    <w:rsid w:val="00386457"/>
    <w:rsid w:val="003B7884"/>
    <w:rsid w:val="003E0351"/>
    <w:rsid w:val="00403A33"/>
    <w:rsid w:val="00427593"/>
    <w:rsid w:val="00435807"/>
    <w:rsid w:val="0043688D"/>
    <w:rsid w:val="00490071"/>
    <w:rsid w:val="004A262A"/>
    <w:rsid w:val="004B6C5F"/>
    <w:rsid w:val="004D03C8"/>
    <w:rsid w:val="004E2DA3"/>
    <w:rsid w:val="004E4EFA"/>
    <w:rsid w:val="005068A7"/>
    <w:rsid w:val="0058008C"/>
    <w:rsid w:val="00581F3C"/>
    <w:rsid w:val="005E70DB"/>
    <w:rsid w:val="0060601F"/>
    <w:rsid w:val="006A67FF"/>
    <w:rsid w:val="006C4176"/>
    <w:rsid w:val="006F5459"/>
    <w:rsid w:val="00726B85"/>
    <w:rsid w:val="00750732"/>
    <w:rsid w:val="00756ECC"/>
    <w:rsid w:val="00773106"/>
    <w:rsid w:val="0077390E"/>
    <w:rsid w:val="007758DB"/>
    <w:rsid w:val="007A08E1"/>
    <w:rsid w:val="007A0A06"/>
    <w:rsid w:val="007D0BE3"/>
    <w:rsid w:val="00802EFB"/>
    <w:rsid w:val="00891D55"/>
    <w:rsid w:val="008A3E2F"/>
    <w:rsid w:val="00936721"/>
    <w:rsid w:val="00961D69"/>
    <w:rsid w:val="00992E48"/>
    <w:rsid w:val="009A6742"/>
    <w:rsid w:val="009C6045"/>
    <w:rsid w:val="009E6938"/>
    <w:rsid w:val="009E73AC"/>
    <w:rsid w:val="00A363DE"/>
    <w:rsid w:val="00A5758E"/>
    <w:rsid w:val="00A607EB"/>
    <w:rsid w:val="00AC2CA8"/>
    <w:rsid w:val="00BB192B"/>
    <w:rsid w:val="00BC4068"/>
    <w:rsid w:val="00C11D7F"/>
    <w:rsid w:val="00C1680D"/>
    <w:rsid w:val="00C60C5E"/>
    <w:rsid w:val="00C62523"/>
    <w:rsid w:val="00C96E18"/>
    <w:rsid w:val="00CF29AD"/>
    <w:rsid w:val="00D30870"/>
    <w:rsid w:val="00D35307"/>
    <w:rsid w:val="00D93F65"/>
    <w:rsid w:val="00DD3738"/>
    <w:rsid w:val="00E15339"/>
    <w:rsid w:val="00E415E6"/>
    <w:rsid w:val="00EB65C1"/>
    <w:rsid w:val="00ED1943"/>
    <w:rsid w:val="00ED1E94"/>
    <w:rsid w:val="00ED7EB5"/>
    <w:rsid w:val="00EF5B82"/>
    <w:rsid w:val="00F162F5"/>
    <w:rsid w:val="00F4732C"/>
    <w:rsid w:val="00F70E92"/>
    <w:rsid w:val="00F83493"/>
    <w:rsid w:val="00F93AD9"/>
    <w:rsid w:val="00FD2437"/>
    <w:rsid w:val="00FF61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601D66B-B026-430C-A266-A39F00690B89}">
  <ds:schemaRefs>
    <ds:schemaRef ds:uri="http://schemas.openxmlformats.org/officeDocument/2006/bibliography"/>
  </ds:schemaRefs>
</ds:datastoreItem>
</file>

<file path=customXml/itemProps4.xml><?xml version="1.0" encoding="utf-8"?>
<ds:datastoreItem xmlns:ds="http://schemas.openxmlformats.org/officeDocument/2006/customXml" ds:itemID="{FDD7EDA3-9CBA-4396-ADAE-E506021DF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Template>
  <TotalTime>40</TotalTime>
  <Pages>14</Pages>
  <Words>5881</Words>
  <Characters>34699</Characters>
  <Application>Microsoft Office Word</Application>
  <DocSecurity>0</DocSecurity>
  <Lines>289</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11</cp:revision>
  <cp:lastPrinted>2019-07-24T06:01:00Z</cp:lastPrinted>
  <dcterms:created xsi:type="dcterms:W3CDTF">2024-12-11T12:56:00Z</dcterms:created>
  <dcterms:modified xsi:type="dcterms:W3CDTF">2025-02-12T07:36:00Z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